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6D3BC" w14:textId="0D80FB44" w:rsidR="00A11B7C" w:rsidRPr="00A11B7C" w:rsidRDefault="00A11B7C" w:rsidP="00A11B7C">
      <w:pPr>
        <w:spacing w:after="0" w:line="240" w:lineRule="auto"/>
        <w:rPr>
          <w:b/>
          <w:color w:val="002060"/>
          <w:sz w:val="48"/>
        </w:rPr>
      </w:pPr>
      <w:r w:rsidRPr="00A11B7C">
        <w:rPr>
          <w:b/>
          <w:color w:val="002060"/>
          <w:sz w:val="48"/>
        </w:rPr>
        <w:t>Gynaecological Oncology specific centre criteria</w:t>
      </w:r>
      <w:r>
        <w:rPr>
          <w:b/>
          <w:color w:val="002060"/>
          <w:sz w:val="48"/>
        </w:rPr>
        <w:t xml:space="preserve"> c</w:t>
      </w:r>
      <w:r w:rsidRPr="00A11B7C">
        <w:rPr>
          <w:b/>
          <w:color w:val="002060"/>
          <w:sz w:val="48"/>
        </w:rPr>
        <w:t>hecklist</w:t>
      </w:r>
      <w:r w:rsidR="00C975D9">
        <w:rPr>
          <w:b/>
          <w:color w:val="002060"/>
          <w:sz w:val="48"/>
        </w:rPr>
        <w:t xml:space="preserve"> </w:t>
      </w:r>
      <w:r w:rsidR="00CC49E9">
        <w:rPr>
          <w:b/>
          <w:color w:val="002060"/>
          <w:sz w:val="48"/>
        </w:rPr>
        <w:t>(</w:t>
      </w:r>
      <w:r w:rsidR="00C975D9">
        <w:rPr>
          <w:b/>
          <w:color w:val="002060"/>
          <w:sz w:val="48"/>
        </w:rPr>
        <w:t>as approved by BGCS</w:t>
      </w:r>
      <w:r w:rsidR="00CC49E9">
        <w:rPr>
          <w:b/>
          <w:color w:val="002060"/>
          <w:sz w:val="48"/>
        </w:rPr>
        <w:t>)</w:t>
      </w:r>
      <w:r w:rsidR="00F71F76">
        <w:rPr>
          <w:b/>
          <w:color w:val="002060"/>
          <w:sz w:val="48"/>
        </w:rPr>
        <w:t xml:space="preserve"> </w:t>
      </w:r>
      <w:r w:rsidR="009617B8">
        <w:rPr>
          <w:b/>
          <w:color w:val="002060"/>
          <w:sz w:val="48"/>
        </w:rPr>
        <w:t>-</w:t>
      </w:r>
      <w:r w:rsidR="00F71F76">
        <w:rPr>
          <w:b/>
          <w:color w:val="002060"/>
          <w:sz w:val="48"/>
        </w:rPr>
        <w:t xml:space="preserve"> Curriculum 2024</w:t>
      </w:r>
    </w:p>
    <w:p w14:paraId="2B3590B4" w14:textId="77777777" w:rsidR="00C975D9" w:rsidRDefault="00C975D9" w:rsidP="00C975D9">
      <w:pPr>
        <w:pStyle w:val="ListParagraph"/>
        <w:spacing w:after="0" w:line="240" w:lineRule="auto"/>
        <w:ind w:left="0"/>
        <w:rPr>
          <w:szCs w:val="20"/>
        </w:rPr>
      </w:pPr>
    </w:p>
    <w:p w14:paraId="40FD2178" w14:textId="77777777" w:rsidR="00A11B7C" w:rsidRPr="009222E7" w:rsidRDefault="00C975D9" w:rsidP="009222E7">
      <w:pPr>
        <w:rPr>
          <w:sz w:val="24"/>
        </w:rPr>
      </w:pPr>
      <w:r w:rsidRPr="009222E7">
        <w:rPr>
          <w:sz w:val="24"/>
        </w:rPr>
        <w:t>These numbers should be considered along with the preceding proposal which explains how they will be applied when reviewing applications for recognition. Subspecialty centres must be able to deliver all aspects of the subspecialty curriculum. If there are some aspects of some modules that are to be delivered outside the centre in an alternative GMC approved training unit, they must be clearly described on the application form.</w:t>
      </w:r>
    </w:p>
    <w:tbl>
      <w:tblPr>
        <w:tblpPr w:leftFromText="180" w:rightFromText="180"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109"/>
        <w:gridCol w:w="1559"/>
        <w:gridCol w:w="1843"/>
      </w:tblGrid>
      <w:tr w:rsidR="00A11B7C" w:rsidRPr="00A11B7C" w14:paraId="5D560828" w14:textId="77777777" w:rsidTr="009222E7">
        <w:trPr>
          <w:trHeight w:val="282"/>
        </w:trPr>
        <w:tc>
          <w:tcPr>
            <w:tcW w:w="2518" w:type="dxa"/>
          </w:tcPr>
          <w:p w14:paraId="49F9D325" w14:textId="77777777" w:rsidR="00A11B7C" w:rsidRPr="009222E7" w:rsidRDefault="00A11B7C" w:rsidP="00D8020B">
            <w:pPr>
              <w:spacing w:after="0" w:line="240" w:lineRule="auto"/>
              <w:rPr>
                <w:rFonts w:cstheme="minorHAnsi"/>
                <w:b/>
                <w:sz w:val="24"/>
                <w:szCs w:val="24"/>
              </w:rPr>
            </w:pPr>
            <w:r w:rsidRPr="009222E7">
              <w:rPr>
                <w:rFonts w:cstheme="minorHAnsi"/>
                <w:b/>
                <w:sz w:val="24"/>
                <w:szCs w:val="24"/>
              </w:rPr>
              <w:t>Domain assessed</w:t>
            </w:r>
          </w:p>
        </w:tc>
        <w:tc>
          <w:tcPr>
            <w:tcW w:w="8109" w:type="dxa"/>
          </w:tcPr>
          <w:p w14:paraId="10260CCF" w14:textId="77777777" w:rsidR="00A11B7C" w:rsidRPr="009222E7" w:rsidRDefault="00A11B7C" w:rsidP="00D8020B">
            <w:pPr>
              <w:spacing w:after="0" w:line="240" w:lineRule="auto"/>
              <w:rPr>
                <w:rFonts w:cstheme="minorHAnsi"/>
                <w:strike/>
                <w:color w:val="FF0000"/>
                <w:sz w:val="24"/>
                <w:szCs w:val="24"/>
              </w:rPr>
            </w:pPr>
            <w:r w:rsidRPr="009222E7">
              <w:rPr>
                <w:rFonts w:cstheme="minorHAnsi"/>
                <w:b/>
                <w:sz w:val="24"/>
                <w:szCs w:val="24"/>
              </w:rPr>
              <w:t>Criteria</w:t>
            </w:r>
          </w:p>
          <w:p w14:paraId="1EC616ED" w14:textId="77777777" w:rsidR="00A11B7C" w:rsidRPr="009222E7" w:rsidRDefault="00A11B7C" w:rsidP="00D8020B">
            <w:pPr>
              <w:spacing w:after="0" w:line="240" w:lineRule="auto"/>
              <w:rPr>
                <w:rFonts w:cstheme="minorHAnsi"/>
                <w:strike/>
                <w:color w:val="FF0000"/>
                <w:sz w:val="24"/>
                <w:szCs w:val="24"/>
              </w:rPr>
            </w:pPr>
          </w:p>
        </w:tc>
        <w:tc>
          <w:tcPr>
            <w:tcW w:w="1559" w:type="dxa"/>
          </w:tcPr>
          <w:p w14:paraId="306A3EA4" w14:textId="77777777" w:rsidR="00A11B7C" w:rsidRPr="009222E7" w:rsidRDefault="00A11B7C" w:rsidP="007E407A">
            <w:pPr>
              <w:spacing w:after="0" w:line="240" w:lineRule="auto"/>
              <w:rPr>
                <w:rFonts w:cstheme="minorHAnsi"/>
                <w:b/>
                <w:sz w:val="24"/>
                <w:szCs w:val="24"/>
              </w:rPr>
            </w:pPr>
            <w:r w:rsidRPr="009222E7">
              <w:rPr>
                <w:rFonts w:cstheme="minorHAnsi"/>
                <w:b/>
                <w:sz w:val="24"/>
                <w:szCs w:val="24"/>
              </w:rPr>
              <w:t>Criterion Met</w:t>
            </w:r>
          </w:p>
          <w:p w14:paraId="76F1EA6C" w14:textId="77777777" w:rsidR="00A11B7C" w:rsidRPr="009222E7" w:rsidRDefault="00A11B7C" w:rsidP="007E407A">
            <w:pPr>
              <w:spacing w:after="0" w:line="240" w:lineRule="auto"/>
              <w:rPr>
                <w:rFonts w:cstheme="minorHAnsi"/>
                <w:b/>
                <w:sz w:val="24"/>
                <w:szCs w:val="24"/>
              </w:rPr>
            </w:pPr>
          </w:p>
        </w:tc>
        <w:tc>
          <w:tcPr>
            <w:tcW w:w="1843" w:type="dxa"/>
          </w:tcPr>
          <w:p w14:paraId="39BB3110" w14:textId="77777777" w:rsidR="00A11B7C" w:rsidRPr="009222E7" w:rsidRDefault="00A11B7C" w:rsidP="00D8020B">
            <w:pPr>
              <w:spacing w:after="0" w:line="240" w:lineRule="auto"/>
              <w:rPr>
                <w:rFonts w:cstheme="minorHAnsi"/>
                <w:b/>
                <w:bCs/>
                <w:sz w:val="24"/>
                <w:szCs w:val="24"/>
              </w:rPr>
            </w:pPr>
            <w:r w:rsidRPr="009222E7">
              <w:rPr>
                <w:rFonts w:cstheme="minorHAnsi"/>
                <w:b/>
                <w:bCs/>
                <w:sz w:val="24"/>
                <w:szCs w:val="24"/>
              </w:rPr>
              <w:t>Please indicate page number on application form</w:t>
            </w:r>
          </w:p>
        </w:tc>
      </w:tr>
      <w:tr w:rsidR="00A11B7C" w:rsidRPr="00A11B7C" w14:paraId="10424653" w14:textId="77777777" w:rsidTr="009222E7">
        <w:trPr>
          <w:trHeight w:val="282"/>
        </w:trPr>
        <w:tc>
          <w:tcPr>
            <w:tcW w:w="2518" w:type="dxa"/>
            <w:vMerge w:val="restart"/>
          </w:tcPr>
          <w:p w14:paraId="4883BC19" w14:textId="77777777" w:rsidR="00A11B7C" w:rsidRPr="009222E7" w:rsidRDefault="009222E7" w:rsidP="009222E7">
            <w:pPr>
              <w:pStyle w:val="ListParagraph"/>
              <w:numPr>
                <w:ilvl w:val="0"/>
                <w:numId w:val="9"/>
              </w:numPr>
              <w:spacing w:after="0" w:line="240" w:lineRule="auto"/>
              <w:rPr>
                <w:rFonts w:cstheme="minorHAnsi"/>
                <w:b/>
                <w:sz w:val="24"/>
                <w:szCs w:val="24"/>
              </w:rPr>
            </w:pPr>
            <w:r>
              <w:rPr>
                <w:rFonts w:cstheme="minorHAnsi"/>
                <w:b/>
                <w:sz w:val="24"/>
                <w:szCs w:val="24"/>
              </w:rPr>
              <w:t xml:space="preserve">Workload and scope </w:t>
            </w:r>
            <w:r w:rsidRPr="009222E7">
              <w:rPr>
                <w:rFonts w:cstheme="minorHAnsi"/>
                <w:sz w:val="24"/>
                <w:szCs w:val="24"/>
                <w:vertAlign w:val="superscript"/>
              </w:rPr>
              <w:t>1&amp;2</w:t>
            </w:r>
          </w:p>
          <w:p w14:paraId="00D3F58F" w14:textId="77777777" w:rsidR="00A11B7C" w:rsidRPr="009222E7" w:rsidRDefault="00A11B7C" w:rsidP="00A11B7C">
            <w:pPr>
              <w:pStyle w:val="ListParagraph"/>
              <w:spacing w:after="0" w:line="240" w:lineRule="auto"/>
              <w:ind w:left="360"/>
              <w:rPr>
                <w:rFonts w:asciiTheme="minorHAnsi" w:hAnsiTheme="minorHAnsi" w:cstheme="minorHAnsi"/>
                <w:b/>
                <w:sz w:val="24"/>
                <w:szCs w:val="24"/>
              </w:rPr>
            </w:pPr>
          </w:p>
        </w:tc>
        <w:tc>
          <w:tcPr>
            <w:tcW w:w="8109" w:type="dxa"/>
          </w:tcPr>
          <w:p w14:paraId="755959E5" w14:textId="3CEFCB12" w:rsidR="00A11B7C" w:rsidRPr="006C4A96" w:rsidRDefault="00331493" w:rsidP="00C011E4">
            <w:pPr>
              <w:pBdr>
                <w:top w:val="nil"/>
                <w:left w:val="nil"/>
                <w:bottom w:val="nil"/>
                <w:right w:val="nil"/>
                <w:between w:val="nil"/>
                <w:bar w:val="nil"/>
              </w:pBdr>
              <w:spacing w:after="0" w:line="240" w:lineRule="auto"/>
              <w:rPr>
                <w:rFonts w:cstheme="minorHAnsi"/>
                <w:sz w:val="24"/>
                <w:szCs w:val="24"/>
              </w:rPr>
            </w:pPr>
            <w:r>
              <w:rPr>
                <w:rFonts w:cstheme="minorHAnsi"/>
                <w:iCs/>
                <w:sz w:val="24"/>
                <w:szCs w:val="24"/>
              </w:rPr>
              <w:t>Access to a minimum of six</w:t>
            </w:r>
            <w:r w:rsidR="00A11B7C" w:rsidRPr="006C4A96">
              <w:rPr>
                <w:rFonts w:cstheme="minorHAnsi"/>
                <w:iCs/>
                <w:sz w:val="24"/>
                <w:szCs w:val="24"/>
              </w:rPr>
              <w:t xml:space="preserve"> operating lists/</w:t>
            </w:r>
            <w:r w:rsidR="00AD212C" w:rsidRPr="006C4A96">
              <w:rPr>
                <w:rFonts w:cstheme="minorHAnsi"/>
                <w:iCs/>
                <w:sz w:val="24"/>
                <w:szCs w:val="24"/>
              </w:rPr>
              <w:t>week (</w:t>
            </w:r>
            <w:r w:rsidR="00A11B7C" w:rsidRPr="006C4A96">
              <w:rPr>
                <w:rFonts w:cstheme="minorHAnsi"/>
                <w:iCs/>
                <w:sz w:val="24"/>
                <w:szCs w:val="24"/>
              </w:rPr>
              <w:t xml:space="preserve">10/week if </w:t>
            </w:r>
            <w:r w:rsidR="00C011E4">
              <w:rPr>
                <w:rFonts w:cstheme="minorHAnsi"/>
                <w:iCs/>
                <w:sz w:val="24"/>
                <w:szCs w:val="24"/>
              </w:rPr>
              <w:t>applying for accreditation for two</w:t>
            </w:r>
            <w:r w:rsidR="00A11B7C" w:rsidRPr="006C4A96">
              <w:rPr>
                <w:rFonts w:cstheme="minorHAnsi"/>
                <w:iCs/>
                <w:sz w:val="24"/>
                <w:szCs w:val="24"/>
              </w:rPr>
              <w:t xml:space="preserve"> trainees)</w:t>
            </w:r>
            <w:r w:rsidR="00552F74">
              <w:rPr>
                <w:rFonts w:cstheme="minorHAnsi"/>
                <w:iCs/>
                <w:sz w:val="24"/>
                <w:szCs w:val="24"/>
              </w:rPr>
              <w:t>.</w:t>
            </w:r>
          </w:p>
        </w:tc>
        <w:tc>
          <w:tcPr>
            <w:tcW w:w="1559" w:type="dxa"/>
          </w:tcPr>
          <w:p w14:paraId="7FDAACAF" w14:textId="5D9328C7"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72D261EF" w14:textId="6DB2840B" w:rsidR="00A11B7C" w:rsidRPr="009222E7" w:rsidRDefault="00A11B7C" w:rsidP="007E407A">
            <w:pPr>
              <w:pStyle w:val="ListParagraph"/>
              <w:spacing w:after="0" w:line="240" w:lineRule="auto"/>
              <w:ind w:left="0"/>
              <w:rPr>
                <w:rFonts w:asciiTheme="minorHAnsi" w:hAnsiTheme="minorHAnsi" w:cstheme="minorHAnsi"/>
                <w:sz w:val="24"/>
                <w:szCs w:val="24"/>
              </w:rPr>
            </w:pPr>
          </w:p>
        </w:tc>
        <w:tc>
          <w:tcPr>
            <w:tcW w:w="1843" w:type="dxa"/>
          </w:tcPr>
          <w:p w14:paraId="0C03FE5F" w14:textId="77777777" w:rsidR="00A11B7C" w:rsidRPr="009222E7" w:rsidRDefault="00A11B7C" w:rsidP="00A11B7C">
            <w:pPr>
              <w:pStyle w:val="ListParagraph"/>
              <w:spacing w:after="0" w:line="240" w:lineRule="auto"/>
              <w:ind w:left="0"/>
              <w:jc w:val="both"/>
              <w:rPr>
                <w:rFonts w:asciiTheme="minorHAnsi" w:hAnsiTheme="minorHAnsi" w:cstheme="minorHAnsi"/>
                <w:sz w:val="24"/>
                <w:szCs w:val="24"/>
              </w:rPr>
            </w:pPr>
          </w:p>
        </w:tc>
      </w:tr>
      <w:tr w:rsidR="00552F74" w:rsidRPr="00A11B7C" w14:paraId="14B58B26" w14:textId="77777777" w:rsidTr="009222E7">
        <w:trPr>
          <w:trHeight w:val="282"/>
        </w:trPr>
        <w:tc>
          <w:tcPr>
            <w:tcW w:w="2518" w:type="dxa"/>
            <w:vMerge/>
          </w:tcPr>
          <w:p w14:paraId="7BB69E65" w14:textId="77777777" w:rsidR="00552F74" w:rsidRDefault="00552F74" w:rsidP="009222E7">
            <w:pPr>
              <w:pStyle w:val="ListParagraph"/>
              <w:numPr>
                <w:ilvl w:val="0"/>
                <w:numId w:val="9"/>
              </w:numPr>
              <w:spacing w:after="0" w:line="240" w:lineRule="auto"/>
              <w:rPr>
                <w:rFonts w:cstheme="minorHAnsi"/>
                <w:b/>
                <w:sz w:val="24"/>
                <w:szCs w:val="24"/>
              </w:rPr>
            </w:pPr>
          </w:p>
        </w:tc>
        <w:tc>
          <w:tcPr>
            <w:tcW w:w="8109" w:type="dxa"/>
          </w:tcPr>
          <w:p w14:paraId="27E78F31" w14:textId="13F6EE00" w:rsidR="00552F74" w:rsidRPr="006C4A96" w:rsidRDefault="00552F74" w:rsidP="00C011E4">
            <w:pPr>
              <w:pBdr>
                <w:top w:val="nil"/>
                <w:left w:val="nil"/>
                <w:bottom w:val="nil"/>
                <w:right w:val="nil"/>
                <w:between w:val="nil"/>
                <w:bar w:val="nil"/>
              </w:pBdr>
              <w:spacing w:after="0" w:line="240" w:lineRule="auto"/>
              <w:rPr>
                <w:rFonts w:cstheme="minorHAnsi"/>
                <w:iCs/>
                <w:sz w:val="24"/>
                <w:szCs w:val="24"/>
              </w:rPr>
            </w:pPr>
            <w:r w:rsidRPr="006C4A96">
              <w:rPr>
                <w:rFonts w:cstheme="minorHAnsi"/>
                <w:iCs/>
                <w:sz w:val="24"/>
                <w:szCs w:val="24"/>
              </w:rPr>
              <w:t xml:space="preserve">Minimum number of new cancers – 250/annum (500 if applying for accreditation for </w:t>
            </w:r>
            <w:r w:rsidR="00C011E4">
              <w:rPr>
                <w:rFonts w:cstheme="minorHAnsi"/>
                <w:iCs/>
                <w:sz w:val="24"/>
                <w:szCs w:val="24"/>
              </w:rPr>
              <w:t>two</w:t>
            </w:r>
            <w:r w:rsidRPr="006C4A96">
              <w:rPr>
                <w:rFonts w:cstheme="minorHAnsi"/>
                <w:iCs/>
                <w:sz w:val="24"/>
                <w:szCs w:val="24"/>
              </w:rPr>
              <w:t xml:space="preserve"> trainees)</w:t>
            </w:r>
            <w:r>
              <w:rPr>
                <w:rFonts w:cstheme="minorHAnsi"/>
                <w:iCs/>
                <w:sz w:val="24"/>
                <w:szCs w:val="24"/>
              </w:rPr>
              <w:t>.</w:t>
            </w:r>
          </w:p>
        </w:tc>
        <w:tc>
          <w:tcPr>
            <w:tcW w:w="1559" w:type="dxa"/>
          </w:tcPr>
          <w:p w14:paraId="796D0012" w14:textId="719033B8" w:rsidR="00552F74" w:rsidRPr="009222E7" w:rsidRDefault="00552F74"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tc>
        <w:tc>
          <w:tcPr>
            <w:tcW w:w="1843" w:type="dxa"/>
          </w:tcPr>
          <w:p w14:paraId="65A8B85C" w14:textId="77777777" w:rsidR="00552F74" w:rsidRPr="009222E7" w:rsidRDefault="00552F74" w:rsidP="00A11B7C">
            <w:pPr>
              <w:pStyle w:val="ListParagraph"/>
              <w:spacing w:after="0" w:line="240" w:lineRule="auto"/>
              <w:ind w:left="0"/>
              <w:jc w:val="both"/>
              <w:rPr>
                <w:rFonts w:asciiTheme="minorHAnsi" w:hAnsiTheme="minorHAnsi" w:cstheme="minorHAnsi"/>
                <w:sz w:val="24"/>
                <w:szCs w:val="24"/>
              </w:rPr>
            </w:pPr>
          </w:p>
        </w:tc>
      </w:tr>
      <w:tr w:rsidR="00A11B7C" w:rsidRPr="00A11B7C" w14:paraId="10B9B701" w14:textId="77777777" w:rsidTr="009222E7">
        <w:trPr>
          <w:trHeight w:val="282"/>
        </w:trPr>
        <w:tc>
          <w:tcPr>
            <w:tcW w:w="2518" w:type="dxa"/>
            <w:vMerge/>
          </w:tcPr>
          <w:p w14:paraId="5990A063" w14:textId="77777777" w:rsidR="00A11B7C" w:rsidRPr="009222E7" w:rsidRDefault="00A11B7C" w:rsidP="00A11B7C">
            <w:pPr>
              <w:pStyle w:val="ListParagraph"/>
              <w:spacing w:after="0" w:line="240" w:lineRule="auto"/>
              <w:ind w:left="360"/>
              <w:rPr>
                <w:rFonts w:asciiTheme="minorHAnsi" w:hAnsiTheme="minorHAnsi" w:cstheme="minorHAnsi"/>
                <w:b/>
                <w:sz w:val="24"/>
                <w:szCs w:val="24"/>
              </w:rPr>
            </w:pPr>
          </w:p>
        </w:tc>
        <w:tc>
          <w:tcPr>
            <w:tcW w:w="8109" w:type="dxa"/>
          </w:tcPr>
          <w:p w14:paraId="1C65E5AF" w14:textId="41362790" w:rsidR="00A11B7C" w:rsidRPr="009222E7" w:rsidRDefault="00A11B7C" w:rsidP="00A11B7C">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Minimum numbers needed to support trainees to achieve competency to be assessed alongside the previous trainees logbook</w:t>
            </w:r>
            <w:r w:rsidR="00C011E4">
              <w:rPr>
                <w:rFonts w:asciiTheme="minorHAnsi" w:hAnsiTheme="minorHAnsi" w:cstheme="minorHAnsi"/>
                <w:sz w:val="24"/>
                <w:szCs w:val="24"/>
              </w:rPr>
              <w:t>:</w:t>
            </w:r>
          </w:p>
          <w:p w14:paraId="0C293DC0" w14:textId="18EA4017" w:rsidR="00A11B7C" w:rsidRPr="009222E7" w:rsidRDefault="00A11B7C" w:rsidP="00A11B7C">
            <w:pPr>
              <w:pStyle w:val="ListParagraph"/>
              <w:numPr>
                <w:ilvl w:val="0"/>
                <w:numId w:val="2"/>
              </w:numPr>
              <w:spacing w:after="0" w:line="240" w:lineRule="auto"/>
              <w:rPr>
                <w:rFonts w:asciiTheme="minorHAnsi" w:hAnsiTheme="minorHAnsi" w:cstheme="minorHAnsi"/>
                <w:sz w:val="24"/>
                <w:szCs w:val="24"/>
              </w:rPr>
            </w:pPr>
            <w:proofErr w:type="gramStart"/>
            <w:r w:rsidRPr="009222E7">
              <w:rPr>
                <w:rFonts w:asciiTheme="minorHAnsi" w:hAnsiTheme="minorHAnsi" w:cstheme="minorHAnsi"/>
                <w:sz w:val="24"/>
                <w:szCs w:val="24"/>
              </w:rPr>
              <w:t>laparoscopic</w:t>
            </w:r>
            <w:proofErr w:type="gramEnd"/>
            <w:r w:rsidRPr="009222E7">
              <w:rPr>
                <w:rFonts w:asciiTheme="minorHAnsi" w:hAnsiTheme="minorHAnsi" w:cstheme="minorHAnsi"/>
                <w:sz w:val="24"/>
                <w:szCs w:val="24"/>
              </w:rPr>
              <w:t xml:space="preserve"> or robotic hysterectomies for endometrial cancer </w:t>
            </w:r>
            <w:r w:rsidR="008D50E6">
              <w:rPr>
                <w:rFonts w:asciiTheme="minorHAnsi" w:hAnsiTheme="minorHAnsi" w:cstheme="minorHAnsi"/>
                <w:sz w:val="24"/>
                <w:szCs w:val="24"/>
              </w:rPr>
              <w:t>is  greater than</w:t>
            </w:r>
            <w:r w:rsidR="008D50E6" w:rsidRPr="009222E7">
              <w:rPr>
                <w:rFonts w:asciiTheme="minorHAnsi" w:hAnsiTheme="minorHAnsi" w:cstheme="minorHAnsi"/>
                <w:sz w:val="24"/>
                <w:szCs w:val="24"/>
              </w:rPr>
              <w:t xml:space="preserve"> 30</w:t>
            </w:r>
            <w:r w:rsidR="008D50E6">
              <w:rPr>
                <w:rFonts w:asciiTheme="minorHAnsi" w:hAnsiTheme="minorHAnsi" w:cstheme="minorHAnsi"/>
                <w:sz w:val="24"/>
                <w:szCs w:val="24"/>
              </w:rPr>
              <w:t>.</w:t>
            </w:r>
          </w:p>
          <w:p w14:paraId="253293B1" w14:textId="4F5A6757" w:rsidR="00A11B7C" w:rsidRPr="009222E7" w:rsidRDefault="00A11B7C" w:rsidP="00A11B7C">
            <w:pPr>
              <w:pStyle w:val="ListParagraph"/>
              <w:numPr>
                <w:ilvl w:val="0"/>
                <w:numId w:val="2"/>
              </w:numPr>
              <w:spacing w:after="0" w:line="240" w:lineRule="auto"/>
              <w:rPr>
                <w:rFonts w:asciiTheme="minorHAnsi" w:hAnsiTheme="minorHAnsi" w:cstheme="minorHAnsi"/>
                <w:sz w:val="24"/>
                <w:szCs w:val="24"/>
              </w:rPr>
            </w:pPr>
            <w:proofErr w:type="gramStart"/>
            <w:r w:rsidRPr="009222E7">
              <w:rPr>
                <w:rFonts w:asciiTheme="minorHAnsi" w:hAnsiTheme="minorHAnsi" w:cstheme="minorHAnsi"/>
                <w:sz w:val="24"/>
                <w:szCs w:val="24"/>
              </w:rPr>
              <w:t>open</w:t>
            </w:r>
            <w:proofErr w:type="gramEnd"/>
            <w:r w:rsidRPr="009222E7">
              <w:rPr>
                <w:rFonts w:asciiTheme="minorHAnsi" w:hAnsiTheme="minorHAnsi" w:cstheme="minorHAnsi"/>
                <w:sz w:val="24"/>
                <w:szCs w:val="24"/>
              </w:rPr>
              <w:t xml:space="preserve"> pelvic lymph node dissections</w:t>
            </w:r>
            <w:r w:rsidR="008D50E6">
              <w:rPr>
                <w:rFonts w:asciiTheme="minorHAnsi" w:hAnsiTheme="minorHAnsi" w:cstheme="minorHAnsi"/>
                <w:sz w:val="24"/>
                <w:szCs w:val="24"/>
              </w:rPr>
              <w:t xml:space="preserve"> is  greater than six.</w:t>
            </w:r>
          </w:p>
          <w:p w14:paraId="2058B5D5" w14:textId="078CC965" w:rsidR="00A11B7C" w:rsidRPr="009222E7" w:rsidRDefault="00A11B7C" w:rsidP="00A11B7C">
            <w:pPr>
              <w:pStyle w:val="ListParagraph"/>
              <w:numPr>
                <w:ilvl w:val="0"/>
                <w:numId w:val="2"/>
              </w:numPr>
              <w:spacing w:after="0" w:line="240" w:lineRule="auto"/>
              <w:rPr>
                <w:rFonts w:asciiTheme="minorHAnsi" w:hAnsiTheme="minorHAnsi" w:cstheme="minorHAnsi"/>
                <w:sz w:val="24"/>
                <w:szCs w:val="24"/>
              </w:rPr>
            </w:pPr>
            <w:proofErr w:type="gramStart"/>
            <w:r w:rsidRPr="009222E7">
              <w:rPr>
                <w:rFonts w:asciiTheme="minorHAnsi" w:hAnsiTheme="minorHAnsi" w:cstheme="minorHAnsi"/>
                <w:sz w:val="24"/>
                <w:szCs w:val="24"/>
              </w:rPr>
              <w:t>laparoscopic/</w:t>
            </w:r>
            <w:proofErr w:type="gramEnd"/>
            <w:r w:rsidRPr="009222E7">
              <w:rPr>
                <w:rFonts w:asciiTheme="minorHAnsi" w:hAnsiTheme="minorHAnsi" w:cstheme="minorHAnsi"/>
                <w:sz w:val="24"/>
                <w:szCs w:val="24"/>
              </w:rPr>
              <w:t>sentinel pelvic lymph node dissections</w:t>
            </w:r>
            <w:r w:rsidR="008D50E6">
              <w:rPr>
                <w:rFonts w:asciiTheme="minorHAnsi" w:hAnsiTheme="minorHAnsi" w:cstheme="minorHAnsi"/>
                <w:sz w:val="24"/>
                <w:szCs w:val="24"/>
              </w:rPr>
              <w:t xml:space="preserve"> is  greater than six.</w:t>
            </w:r>
          </w:p>
          <w:p w14:paraId="06447FA1" w14:textId="5B1ABE3B" w:rsidR="00A11B7C" w:rsidRPr="009222E7" w:rsidRDefault="00A11B7C" w:rsidP="00A11B7C">
            <w:pPr>
              <w:pStyle w:val="ListParagraph"/>
              <w:numPr>
                <w:ilvl w:val="0"/>
                <w:numId w:val="2"/>
              </w:numPr>
              <w:pBdr>
                <w:top w:val="nil"/>
                <w:left w:val="nil"/>
                <w:bottom w:val="nil"/>
                <w:right w:val="nil"/>
                <w:between w:val="nil"/>
                <w:bar w:val="nil"/>
              </w:pBdr>
              <w:spacing w:after="0" w:line="240" w:lineRule="auto"/>
              <w:contextualSpacing w:val="0"/>
              <w:rPr>
                <w:rFonts w:asciiTheme="minorHAnsi" w:eastAsia="Times New Roman" w:hAnsiTheme="minorHAnsi" w:cstheme="minorHAnsi"/>
                <w:color w:val="000000"/>
                <w:sz w:val="24"/>
                <w:szCs w:val="24"/>
                <w:lang w:eastAsia="en-GB"/>
              </w:rPr>
            </w:pPr>
            <w:proofErr w:type="gramStart"/>
            <w:r w:rsidRPr="009222E7">
              <w:rPr>
                <w:rFonts w:asciiTheme="minorHAnsi" w:hAnsiTheme="minorHAnsi" w:cstheme="minorHAnsi"/>
                <w:sz w:val="24"/>
                <w:szCs w:val="24"/>
              </w:rPr>
              <w:t>radical</w:t>
            </w:r>
            <w:proofErr w:type="gramEnd"/>
            <w:r w:rsidRPr="009222E7">
              <w:rPr>
                <w:rFonts w:asciiTheme="minorHAnsi" w:hAnsiTheme="minorHAnsi" w:cstheme="minorHAnsi"/>
                <w:sz w:val="24"/>
                <w:szCs w:val="24"/>
              </w:rPr>
              <w:t xml:space="preserve"> surgical procedures for cervical cancer (can include radical trachelectomy, open or laparoscopic)</w:t>
            </w:r>
            <w:r w:rsidR="008D50E6">
              <w:rPr>
                <w:rFonts w:asciiTheme="minorHAnsi" w:hAnsiTheme="minorHAnsi" w:cstheme="minorHAnsi"/>
                <w:sz w:val="24"/>
                <w:szCs w:val="24"/>
              </w:rPr>
              <w:t xml:space="preserve"> is  greater than</w:t>
            </w:r>
            <w:r w:rsidR="008D50E6" w:rsidRPr="009222E7">
              <w:rPr>
                <w:rFonts w:asciiTheme="minorHAnsi" w:hAnsiTheme="minorHAnsi" w:cstheme="minorHAnsi"/>
                <w:sz w:val="24"/>
                <w:szCs w:val="24"/>
              </w:rPr>
              <w:t xml:space="preserve"> </w:t>
            </w:r>
            <w:r w:rsidR="008D50E6">
              <w:rPr>
                <w:rFonts w:asciiTheme="minorHAnsi" w:hAnsiTheme="minorHAnsi" w:cstheme="minorHAnsi"/>
                <w:sz w:val="24"/>
                <w:szCs w:val="24"/>
              </w:rPr>
              <w:t>six.</w:t>
            </w:r>
          </w:p>
          <w:p w14:paraId="0CE0EF66" w14:textId="33FBB9FC" w:rsidR="00A11B7C" w:rsidRPr="009222E7" w:rsidRDefault="00A11B7C" w:rsidP="00A11B7C">
            <w:pPr>
              <w:pStyle w:val="ListParagraph"/>
              <w:numPr>
                <w:ilvl w:val="0"/>
                <w:numId w:val="2"/>
              </w:numPr>
              <w:spacing w:after="0" w:line="240" w:lineRule="auto"/>
              <w:rPr>
                <w:rStyle w:val="Strikethrough"/>
                <w:rFonts w:asciiTheme="minorHAnsi" w:hAnsiTheme="minorHAnsi" w:cstheme="minorHAnsi"/>
                <w:sz w:val="24"/>
                <w:szCs w:val="24"/>
              </w:rPr>
            </w:pPr>
            <w:proofErr w:type="gramStart"/>
            <w:r w:rsidRPr="009222E7">
              <w:rPr>
                <w:rStyle w:val="Strikethrough"/>
                <w:rFonts w:asciiTheme="minorHAnsi" w:hAnsiTheme="minorHAnsi" w:cstheme="minorHAnsi"/>
                <w:strike w:val="0"/>
                <w:sz w:val="24"/>
                <w:szCs w:val="24"/>
              </w:rPr>
              <w:t>open</w:t>
            </w:r>
            <w:proofErr w:type="gramEnd"/>
            <w:r w:rsidRPr="009222E7">
              <w:rPr>
                <w:rStyle w:val="Strikethrough"/>
                <w:rFonts w:asciiTheme="minorHAnsi" w:hAnsiTheme="minorHAnsi" w:cstheme="minorHAnsi"/>
                <w:strike w:val="0"/>
                <w:sz w:val="24"/>
                <w:szCs w:val="24"/>
              </w:rPr>
              <w:t xml:space="preserve"> para-aortic lymph node dissections</w:t>
            </w:r>
            <w:r w:rsidR="008D50E6">
              <w:rPr>
                <w:rStyle w:val="Strikethrough"/>
                <w:rFonts w:asciiTheme="minorHAnsi" w:hAnsiTheme="minorHAnsi" w:cstheme="minorHAnsi"/>
                <w:strike w:val="0"/>
                <w:sz w:val="24"/>
                <w:szCs w:val="24"/>
              </w:rPr>
              <w:t xml:space="preserve"> is  greater than</w:t>
            </w:r>
            <w:r w:rsidR="008D50E6" w:rsidRPr="009222E7">
              <w:rPr>
                <w:rStyle w:val="Strikethrough"/>
                <w:rFonts w:asciiTheme="minorHAnsi" w:hAnsiTheme="minorHAnsi" w:cstheme="minorHAnsi"/>
                <w:strike w:val="0"/>
                <w:sz w:val="24"/>
                <w:szCs w:val="24"/>
              </w:rPr>
              <w:t xml:space="preserve"> </w:t>
            </w:r>
            <w:r w:rsidR="008D50E6">
              <w:rPr>
                <w:rStyle w:val="Strikethrough"/>
                <w:rFonts w:asciiTheme="minorHAnsi" w:hAnsiTheme="minorHAnsi" w:cstheme="minorHAnsi"/>
                <w:strike w:val="0"/>
                <w:sz w:val="24"/>
                <w:szCs w:val="24"/>
              </w:rPr>
              <w:t>six.</w:t>
            </w:r>
          </w:p>
          <w:p w14:paraId="2C4CE077" w14:textId="441CFEB3" w:rsidR="00A11B7C" w:rsidRPr="009222E7" w:rsidRDefault="00A11B7C" w:rsidP="00A11B7C">
            <w:pPr>
              <w:pStyle w:val="ListParagraph"/>
              <w:numPr>
                <w:ilvl w:val="0"/>
                <w:numId w:val="2"/>
              </w:numPr>
              <w:spacing w:after="0" w:line="240" w:lineRule="auto"/>
              <w:rPr>
                <w:rFonts w:asciiTheme="minorHAnsi" w:hAnsiTheme="minorHAnsi" w:cstheme="minorHAnsi"/>
                <w:sz w:val="24"/>
                <w:szCs w:val="24"/>
              </w:rPr>
            </w:pPr>
            <w:proofErr w:type="gramStart"/>
            <w:r w:rsidRPr="009222E7">
              <w:rPr>
                <w:rFonts w:asciiTheme="minorHAnsi" w:hAnsiTheme="minorHAnsi" w:cstheme="minorHAnsi"/>
                <w:sz w:val="24"/>
                <w:szCs w:val="24"/>
              </w:rPr>
              <w:lastRenderedPageBreak/>
              <w:t>radical</w:t>
            </w:r>
            <w:proofErr w:type="gramEnd"/>
            <w:r w:rsidRPr="009222E7">
              <w:rPr>
                <w:rFonts w:asciiTheme="minorHAnsi" w:hAnsiTheme="minorHAnsi" w:cstheme="minorHAnsi"/>
                <w:sz w:val="24"/>
                <w:szCs w:val="24"/>
              </w:rPr>
              <w:t xml:space="preserve"> </w:t>
            </w:r>
            <w:proofErr w:type="spellStart"/>
            <w:r w:rsidRPr="009222E7">
              <w:rPr>
                <w:rFonts w:asciiTheme="minorHAnsi" w:hAnsiTheme="minorHAnsi" w:cstheme="minorHAnsi"/>
                <w:iCs/>
                <w:sz w:val="24"/>
                <w:szCs w:val="24"/>
              </w:rPr>
              <w:t>vulvectomy</w:t>
            </w:r>
            <w:proofErr w:type="spellEnd"/>
            <w:r w:rsidRPr="009222E7">
              <w:rPr>
                <w:rFonts w:asciiTheme="minorHAnsi" w:hAnsiTheme="minorHAnsi" w:cstheme="minorHAnsi"/>
                <w:iCs/>
                <w:sz w:val="24"/>
                <w:szCs w:val="24"/>
              </w:rPr>
              <w:t xml:space="preserve"> for </w:t>
            </w:r>
            <w:proofErr w:type="spellStart"/>
            <w:r w:rsidRPr="009222E7">
              <w:rPr>
                <w:rFonts w:asciiTheme="minorHAnsi" w:hAnsiTheme="minorHAnsi" w:cstheme="minorHAnsi"/>
                <w:iCs/>
                <w:sz w:val="24"/>
                <w:szCs w:val="24"/>
              </w:rPr>
              <w:t>vulval</w:t>
            </w:r>
            <w:proofErr w:type="spellEnd"/>
            <w:r w:rsidRPr="009222E7">
              <w:rPr>
                <w:rFonts w:asciiTheme="minorHAnsi" w:hAnsiTheme="minorHAnsi" w:cstheme="minorHAnsi"/>
                <w:iCs/>
                <w:sz w:val="24"/>
                <w:szCs w:val="24"/>
              </w:rPr>
              <w:t xml:space="preserve"> cancer</w:t>
            </w:r>
            <w:r w:rsidR="008D50E6">
              <w:rPr>
                <w:rFonts w:asciiTheme="minorHAnsi" w:hAnsiTheme="minorHAnsi" w:cstheme="minorHAnsi"/>
                <w:iCs/>
                <w:sz w:val="24"/>
                <w:szCs w:val="24"/>
              </w:rPr>
              <w:t xml:space="preserve"> is </w:t>
            </w:r>
            <w:r w:rsidR="008D50E6">
              <w:rPr>
                <w:rFonts w:asciiTheme="minorHAnsi" w:hAnsiTheme="minorHAnsi" w:cstheme="minorHAnsi"/>
                <w:sz w:val="24"/>
                <w:szCs w:val="24"/>
              </w:rPr>
              <w:t>greater than six.</w:t>
            </w:r>
          </w:p>
          <w:p w14:paraId="1C4C08DA" w14:textId="2763DF63" w:rsidR="00A11B7C" w:rsidRPr="009222E7" w:rsidRDefault="00A11B7C" w:rsidP="00A11B7C">
            <w:pPr>
              <w:pStyle w:val="ListParagraph"/>
              <w:numPr>
                <w:ilvl w:val="0"/>
                <w:numId w:val="2"/>
              </w:numPr>
              <w:spacing w:after="0" w:line="240" w:lineRule="auto"/>
              <w:rPr>
                <w:rFonts w:asciiTheme="minorHAnsi" w:hAnsiTheme="minorHAnsi" w:cstheme="minorHAnsi"/>
                <w:sz w:val="24"/>
                <w:szCs w:val="24"/>
              </w:rPr>
            </w:pPr>
            <w:proofErr w:type="spellStart"/>
            <w:proofErr w:type="gramStart"/>
            <w:r w:rsidRPr="009222E7">
              <w:rPr>
                <w:rFonts w:asciiTheme="minorHAnsi" w:hAnsiTheme="minorHAnsi" w:cstheme="minorHAnsi"/>
                <w:sz w:val="24"/>
                <w:szCs w:val="24"/>
              </w:rPr>
              <w:t>inguinofemoral</w:t>
            </w:r>
            <w:proofErr w:type="spellEnd"/>
            <w:proofErr w:type="gramEnd"/>
            <w:r w:rsidRPr="009222E7">
              <w:rPr>
                <w:rFonts w:asciiTheme="minorHAnsi" w:hAnsiTheme="minorHAnsi" w:cstheme="minorHAnsi"/>
                <w:sz w:val="24"/>
                <w:szCs w:val="24"/>
              </w:rPr>
              <w:t xml:space="preserve"> node dissections for </w:t>
            </w:r>
            <w:proofErr w:type="spellStart"/>
            <w:r w:rsidRPr="009222E7">
              <w:rPr>
                <w:rFonts w:asciiTheme="minorHAnsi" w:hAnsiTheme="minorHAnsi" w:cstheme="minorHAnsi"/>
                <w:sz w:val="24"/>
                <w:szCs w:val="24"/>
              </w:rPr>
              <w:t>vulval</w:t>
            </w:r>
            <w:proofErr w:type="spellEnd"/>
            <w:r w:rsidRPr="009222E7">
              <w:rPr>
                <w:rFonts w:asciiTheme="minorHAnsi" w:hAnsiTheme="minorHAnsi" w:cstheme="minorHAnsi"/>
                <w:sz w:val="24"/>
                <w:szCs w:val="24"/>
              </w:rPr>
              <w:t xml:space="preserve"> cancer</w:t>
            </w:r>
            <w:r w:rsidR="008D50E6">
              <w:rPr>
                <w:rFonts w:asciiTheme="minorHAnsi" w:hAnsiTheme="minorHAnsi" w:cstheme="minorHAnsi"/>
                <w:sz w:val="24"/>
                <w:szCs w:val="24"/>
              </w:rPr>
              <w:t xml:space="preserve"> is greater than six.</w:t>
            </w:r>
          </w:p>
          <w:p w14:paraId="2BFC61F2" w14:textId="3D7DA1F2" w:rsidR="00A11B7C" w:rsidRPr="009222E7" w:rsidRDefault="00A11B7C" w:rsidP="00A11B7C">
            <w:pPr>
              <w:pStyle w:val="ListParagraph"/>
              <w:numPr>
                <w:ilvl w:val="0"/>
                <w:numId w:val="2"/>
              </w:numPr>
              <w:spacing w:after="0" w:line="240" w:lineRule="auto"/>
              <w:rPr>
                <w:rStyle w:val="Strikethrough"/>
                <w:rFonts w:asciiTheme="minorHAnsi" w:hAnsiTheme="minorHAnsi" w:cstheme="minorHAnsi"/>
                <w:strike w:val="0"/>
                <w:sz w:val="24"/>
                <w:szCs w:val="24"/>
              </w:rPr>
            </w:pPr>
            <w:proofErr w:type="gramStart"/>
            <w:r w:rsidRPr="009222E7">
              <w:rPr>
                <w:rFonts w:asciiTheme="minorHAnsi" w:hAnsiTheme="minorHAnsi" w:cstheme="minorHAnsi"/>
                <w:sz w:val="24"/>
                <w:szCs w:val="24"/>
              </w:rPr>
              <w:t>sentinel</w:t>
            </w:r>
            <w:proofErr w:type="gramEnd"/>
            <w:r w:rsidRPr="009222E7">
              <w:rPr>
                <w:rFonts w:asciiTheme="minorHAnsi" w:hAnsiTheme="minorHAnsi" w:cstheme="minorHAnsi"/>
                <w:sz w:val="24"/>
                <w:szCs w:val="24"/>
              </w:rPr>
              <w:t xml:space="preserve"> lymph node dissections for </w:t>
            </w:r>
            <w:proofErr w:type="spellStart"/>
            <w:r w:rsidRPr="009222E7">
              <w:rPr>
                <w:rFonts w:asciiTheme="minorHAnsi" w:hAnsiTheme="minorHAnsi" w:cstheme="minorHAnsi"/>
                <w:sz w:val="24"/>
                <w:szCs w:val="24"/>
              </w:rPr>
              <w:t>vulval</w:t>
            </w:r>
            <w:proofErr w:type="spellEnd"/>
            <w:r w:rsidRPr="009222E7">
              <w:rPr>
                <w:rFonts w:asciiTheme="minorHAnsi" w:hAnsiTheme="minorHAnsi" w:cstheme="minorHAnsi"/>
                <w:sz w:val="24"/>
                <w:szCs w:val="24"/>
              </w:rPr>
              <w:t xml:space="preserve"> cancer </w:t>
            </w:r>
            <w:r w:rsidR="008D50E6">
              <w:rPr>
                <w:rFonts w:asciiTheme="minorHAnsi" w:hAnsiTheme="minorHAnsi" w:cstheme="minorHAnsi"/>
                <w:sz w:val="24"/>
                <w:szCs w:val="24"/>
              </w:rPr>
              <w:t>is greater than six.</w:t>
            </w:r>
          </w:p>
          <w:p w14:paraId="01879620" w14:textId="77777777" w:rsidR="00A11B7C" w:rsidRPr="009222E7" w:rsidRDefault="00A11B7C" w:rsidP="00A11B7C">
            <w:pPr>
              <w:pStyle w:val="ListParagraph"/>
              <w:numPr>
                <w:ilvl w:val="0"/>
                <w:numId w:val="2"/>
              </w:numPr>
              <w:pBdr>
                <w:top w:val="nil"/>
                <w:left w:val="nil"/>
                <w:bottom w:val="nil"/>
                <w:right w:val="nil"/>
                <w:between w:val="nil"/>
                <w:bar w:val="nil"/>
              </w:pBdr>
              <w:spacing w:after="0" w:line="240" w:lineRule="auto"/>
              <w:contextualSpacing w:val="0"/>
              <w:rPr>
                <w:rFonts w:asciiTheme="minorHAnsi" w:hAnsiTheme="minorHAnsi" w:cstheme="minorHAnsi"/>
                <w:sz w:val="24"/>
                <w:szCs w:val="24"/>
              </w:rPr>
            </w:pPr>
            <w:r w:rsidRPr="009222E7">
              <w:rPr>
                <w:rFonts w:asciiTheme="minorHAnsi" w:hAnsiTheme="minorHAnsi" w:cstheme="minorHAnsi"/>
                <w:sz w:val="24"/>
                <w:szCs w:val="24"/>
              </w:rPr>
              <w:t>Evidence of complex surgery for gynaecological cancer including:</w:t>
            </w:r>
          </w:p>
          <w:p w14:paraId="499706C4" w14:textId="63529088" w:rsidR="00A11B7C" w:rsidRPr="009222E7" w:rsidRDefault="008D50E6" w:rsidP="006C4A96">
            <w:pPr>
              <w:pStyle w:val="ListParagraph"/>
              <w:numPr>
                <w:ilvl w:val="1"/>
                <w:numId w:val="2"/>
              </w:numPr>
              <w:pBdr>
                <w:top w:val="nil"/>
                <w:left w:val="nil"/>
                <w:bottom w:val="nil"/>
                <w:right w:val="nil"/>
                <w:between w:val="nil"/>
                <w:bar w:val="nil"/>
              </w:pBdr>
              <w:spacing w:after="0" w:line="240" w:lineRule="auto"/>
              <w:ind w:left="714" w:hanging="357"/>
              <w:contextualSpacing w:val="0"/>
              <w:rPr>
                <w:rFonts w:asciiTheme="minorHAnsi" w:hAnsiTheme="minorHAnsi" w:cstheme="minorHAnsi"/>
                <w:sz w:val="24"/>
                <w:szCs w:val="24"/>
              </w:rPr>
            </w:pPr>
            <w:r>
              <w:rPr>
                <w:rFonts w:asciiTheme="minorHAnsi" w:hAnsiTheme="minorHAnsi" w:cstheme="minorHAnsi"/>
                <w:sz w:val="24"/>
                <w:szCs w:val="24"/>
              </w:rPr>
              <w:t xml:space="preserve">large bowel resection is </w:t>
            </w:r>
            <w:r w:rsidR="00DA79BD">
              <w:rPr>
                <w:rFonts w:asciiTheme="minorHAnsi" w:hAnsiTheme="minorHAnsi" w:cstheme="minorHAnsi"/>
                <w:sz w:val="24"/>
                <w:szCs w:val="24"/>
              </w:rPr>
              <w:t>greater than</w:t>
            </w:r>
            <w:r w:rsidR="00C011E4">
              <w:rPr>
                <w:rFonts w:asciiTheme="minorHAnsi" w:hAnsiTheme="minorHAnsi" w:cstheme="minorHAnsi"/>
                <w:sz w:val="24"/>
                <w:szCs w:val="24"/>
              </w:rPr>
              <w:t xml:space="preserve"> six</w:t>
            </w:r>
            <w:r>
              <w:rPr>
                <w:rFonts w:asciiTheme="minorHAnsi" w:hAnsiTheme="minorHAnsi" w:cstheme="minorHAnsi"/>
                <w:sz w:val="24"/>
                <w:szCs w:val="24"/>
              </w:rPr>
              <w:t>/annum</w:t>
            </w:r>
          </w:p>
          <w:p w14:paraId="41EB6F6F" w14:textId="70BD55D3" w:rsidR="00A11B7C" w:rsidRPr="009222E7" w:rsidRDefault="00C011E4" w:rsidP="006C4A96">
            <w:pPr>
              <w:pStyle w:val="ListParagraph"/>
              <w:numPr>
                <w:ilvl w:val="1"/>
                <w:numId w:val="2"/>
              </w:numPr>
              <w:pBdr>
                <w:top w:val="nil"/>
                <w:left w:val="nil"/>
                <w:bottom w:val="nil"/>
                <w:right w:val="nil"/>
                <w:between w:val="nil"/>
                <w:bar w:val="nil"/>
              </w:pBdr>
              <w:spacing w:after="0" w:line="240" w:lineRule="auto"/>
              <w:ind w:left="714" w:hanging="357"/>
              <w:contextualSpacing w:val="0"/>
              <w:rPr>
                <w:rFonts w:asciiTheme="minorHAnsi" w:hAnsiTheme="minorHAnsi" w:cstheme="minorHAnsi"/>
                <w:sz w:val="24"/>
                <w:szCs w:val="24"/>
              </w:rPr>
            </w:pPr>
            <w:r>
              <w:rPr>
                <w:rFonts w:asciiTheme="minorHAnsi" w:hAnsiTheme="minorHAnsi" w:cstheme="minorHAnsi"/>
                <w:sz w:val="24"/>
                <w:szCs w:val="24"/>
              </w:rPr>
              <w:t xml:space="preserve">small bowel resection </w:t>
            </w:r>
            <w:r w:rsidR="008D50E6">
              <w:rPr>
                <w:rFonts w:asciiTheme="minorHAnsi" w:hAnsiTheme="minorHAnsi" w:cstheme="minorHAnsi"/>
                <w:sz w:val="24"/>
                <w:szCs w:val="24"/>
              </w:rPr>
              <w:t xml:space="preserve">is </w:t>
            </w:r>
            <w:r w:rsidR="00DA79BD">
              <w:rPr>
                <w:rFonts w:asciiTheme="minorHAnsi" w:hAnsiTheme="minorHAnsi" w:cstheme="minorHAnsi"/>
                <w:sz w:val="24"/>
                <w:szCs w:val="24"/>
              </w:rPr>
              <w:t>greater than</w:t>
            </w:r>
            <w:r>
              <w:rPr>
                <w:rFonts w:asciiTheme="minorHAnsi" w:hAnsiTheme="minorHAnsi" w:cstheme="minorHAnsi"/>
                <w:sz w:val="24"/>
                <w:szCs w:val="24"/>
              </w:rPr>
              <w:t xml:space="preserve"> six</w:t>
            </w:r>
            <w:r w:rsidR="008D50E6">
              <w:rPr>
                <w:rFonts w:asciiTheme="minorHAnsi" w:hAnsiTheme="minorHAnsi" w:cstheme="minorHAnsi"/>
                <w:sz w:val="24"/>
                <w:szCs w:val="24"/>
              </w:rPr>
              <w:t>/annum</w:t>
            </w:r>
          </w:p>
          <w:p w14:paraId="001EDFA7" w14:textId="2037DCF5" w:rsidR="00A11B7C" w:rsidRPr="009222E7" w:rsidRDefault="00A11B7C" w:rsidP="006C4A96">
            <w:pPr>
              <w:pStyle w:val="ListParagraph"/>
              <w:numPr>
                <w:ilvl w:val="1"/>
                <w:numId w:val="2"/>
              </w:numPr>
              <w:pBdr>
                <w:top w:val="nil"/>
                <w:left w:val="nil"/>
                <w:bottom w:val="nil"/>
                <w:right w:val="nil"/>
                <w:between w:val="nil"/>
                <w:bar w:val="nil"/>
              </w:pBdr>
              <w:spacing w:after="0" w:line="240" w:lineRule="auto"/>
              <w:ind w:left="714" w:hanging="357"/>
              <w:contextualSpacing w:val="0"/>
              <w:rPr>
                <w:rFonts w:asciiTheme="minorHAnsi" w:hAnsiTheme="minorHAnsi" w:cstheme="minorHAnsi"/>
                <w:sz w:val="24"/>
                <w:szCs w:val="24"/>
              </w:rPr>
            </w:pPr>
            <w:r w:rsidRPr="009222E7">
              <w:rPr>
                <w:rFonts w:asciiTheme="minorHAnsi" w:hAnsiTheme="minorHAnsi" w:cstheme="minorHAnsi"/>
                <w:sz w:val="24"/>
                <w:szCs w:val="24"/>
              </w:rPr>
              <w:t xml:space="preserve">diaphragmatic stripping with liver mobilisation </w:t>
            </w:r>
            <w:r w:rsidR="008D50E6">
              <w:rPr>
                <w:rFonts w:asciiTheme="minorHAnsi" w:hAnsiTheme="minorHAnsi" w:cstheme="minorHAnsi"/>
                <w:sz w:val="24"/>
                <w:szCs w:val="24"/>
              </w:rPr>
              <w:t xml:space="preserve">is </w:t>
            </w:r>
            <w:r w:rsidR="00DA79BD">
              <w:rPr>
                <w:rFonts w:asciiTheme="minorHAnsi" w:hAnsiTheme="minorHAnsi" w:cstheme="minorHAnsi"/>
                <w:sz w:val="24"/>
                <w:szCs w:val="24"/>
              </w:rPr>
              <w:t>greater than</w:t>
            </w:r>
            <w:r w:rsidR="00C011E4">
              <w:rPr>
                <w:rFonts w:asciiTheme="minorHAnsi" w:hAnsiTheme="minorHAnsi" w:cstheme="minorHAnsi"/>
                <w:sz w:val="24"/>
                <w:szCs w:val="24"/>
              </w:rPr>
              <w:t xml:space="preserve"> six</w:t>
            </w:r>
            <w:r w:rsidRPr="009222E7">
              <w:rPr>
                <w:rFonts w:asciiTheme="minorHAnsi" w:hAnsiTheme="minorHAnsi" w:cstheme="minorHAnsi"/>
                <w:sz w:val="24"/>
                <w:szCs w:val="24"/>
              </w:rPr>
              <w:t>/annum</w:t>
            </w:r>
          </w:p>
          <w:p w14:paraId="53D036CC" w14:textId="55B1696E" w:rsidR="00A11B7C" w:rsidRPr="004F6EBB" w:rsidRDefault="008D50E6" w:rsidP="006C4A96">
            <w:pPr>
              <w:pStyle w:val="ListParagraph"/>
              <w:numPr>
                <w:ilvl w:val="1"/>
                <w:numId w:val="2"/>
              </w:numPr>
              <w:pBdr>
                <w:top w:val="nil"/>
                <w:left w:val="nil"/>
                <w:bottom w:val="nil"/>
                <w:right w:val="nil"/>
                <w:between w:val="nil"/>
                <w:bar w:val="nil"/>
              </w:pBdr>
              <w:spacing w:after="0" w:line="240" w:lineRule="auto"/>
              <w:ind w:left="714" w:hanging="357"/>
              <w:contextualSpacing w:val="0"/>
              <w:rPr>
                <w:rFonts w:asciiTheme="minorHAnsi" w:hAnsiTheme="minorHAnsi" w:cstheme="minorHAnsi"/>
                <w:sz w:val="24"/>
                <w:szCs w:val="24"/>
              </w:rPr>
            </w:pPr>
            <w:r>
              <w:rPr>
                <w:rFonts w:asciiTheme="minorHAnsi" w:hAnsiTheme="minorHAnsi" w:cstheme="minorHAnsi"/>
                <w:sz w:val="24"/>
                <w:szCs w:val="24"/>
              </w:rPr>
              <w:t xml:space="preserve">splenectomy is </w:t>
            </w:r>
            <w:r w:rsidR="00DA79BD">
              <w:rPr>
                <w:rFonts w:asciiTheme="minorHAnsi" w:hAnsiTheme="minorHAnsi" w:cstheme="minorHAnsi"/>
                <w:sz w:val="24"/>
                <w:szCs w:val="24"/>
              </w:rPr>
              <w:t>greater than</w:t>
            </w:r>
            <w:r w:rsidR="00C011E4">
              <w:rPr>
                <w:rFonts w:asciiTheme="minorHAnsi" w:hAnsiTheme="minorHAnsi" w:cstheme="minorHAnsi"/>
                <w:sz w:val="24"/>
                <w:szCs w:val="24"/>
              </w:rPr>
              <w:t xml:space="preserve"> three</w:t>
            </w:r>
            <w:r>
              <w:rPr>
                <w:rFonts w:asciiTheme="minorHAnsi" w:hAnsiTheme="minorHAnsi" w:cstheme="minorHAnsi"/>
                <w:sz w:val="24"/>
                <w:szCs w:val="24"/>
              </w:rPr>
              <w:t>/annum</w:t>
            </w:r>
          </w:p>
          <w:p w14:paraId="75D3126A" w14:textId="6C5811EB" w:rsidR="00A11B7C" w:rsidRPr="009222E7" w:rsidRDefault="00C011E4" w:rsidP="00C011E4">
            <w:pPr>
              <w:pStyle w:val="ListParagraph"/>
              <w:numPr>
                <w:ilvl w:val="0"/>
                <w:numId w:val="2"/>
              </w:numPr>
              <w:spacing w:after="0" w:line="240" w:lineRule="auto"/>
              <w:rPr>
                <w:rFonts w:asciiTheme="minorHAnsi" w:hAnsiTheme="minorHAnsi" w:cstheme="minorHAnsi"/>
                <w:sz w:val="24"/>
                <w:szCs w:val="24"/>
              </w:rPr>
            </w:pPr>
            <w:proofErr w:type="spellStart"/>
            <w:proofErr w:type="gramStart"/>
            <w:r>
              <w:rPr>
                <w:rFonts w:asciiTheme="minorHAnsi" w:hAnsiTheme="minorHAnsi" w:cstheme="minorHAnsi"/>
                <w:sz w:val="24"/>
                <w:szCs w:val="24"/>
              </w:rPr>
              <w:t>exenterations</w:t>
            </w:r>
            <w:proofErr w:type="spellEnd"/>
            <w:proofErr w:type="gramEnd"/>
            <w:r>
              <w:rPr>
                <w:rFonts w:asciiTheme="minorHAnsi" w:hAnsiTheme="minorHAnsi" w:cstheme="minorHAnsi"/>
                <w:sz w:val="24"/>
                <w:szCs w:val="24"/>
              </w:rPr>
              <w:t xml:space="preserve"> for advanced</w:t>
            </w:r>
            <w:r w:rsidR="00A11B7C" w:rsidRPr="009222E7">
              <w:rPr>
                <w:rFonts w:asciiTheme="minorHAnsi" w:hAnsiTheme="minorHAnsi" w:cstheme="minorHAnsi"/>
                <w:sz w:val="24"/>
                <w:szCs w:val="24"/>
              </w:rPr>
              <w:t>/recurrent gynaecological cancer (excl</w:t>
            </w:r>
            <w:r w:rsidR="00C975D9" w:rsidRPr="009222E7">
              <w:rPr>
                <w:rFonts w:asciiTheme="minorHAnsi" w:hAnsiTheme="minorHAnsi" w:cstheme="minorHAnsi"/>
                <w:sz w:val="24"/>
                <w:szCs w:val="24"/>
              </w:rPr>
              <w:t>uding</w:t>
            </w:r>
            <w:r w:rsidR="00A11B7C" w:rsidRPr="009222E7">
              <w:rPr>
                <w:rFonts w:asciiTheme="minorHAnsi" w:hAnsiTheme="minorHAnsi" w:cstheme="minorHAnsi"/>
                <w:sz w:val="24"/>
                <w:szCs w:val="24"/>
              </w:rPr>
              <w:t xml:space="preserve"> Hudson </w:t>
            </w:r>
            <w:proofErr w:type="spellStart"/>
            <w:r w:rsidR="00A11B7C" w:rsidRPr="009222E7">
              <w:rPr>
                <w:rFonts w:asciiTheme="minorHAnsi" w:hAnsiTheme="minorHAnsi" w:cstheme="minorHAnsi"/>
                <w:sz w:val="24"/>
                <w:szCs w:val="24"/>
              </w:rPr>
              <w:t>en</w:t>
            </w:r>
            <w:proofErr w:type="spellEnd"/>
            <w:r w:rsidR="00A11B7C" w:rsidRPr="009222E7">
              <w:rPr>
                <w:rFonts w:asciiTheme="minorHAnsi" w:hAnsiTheme="minorHAnsi" w:cstheme="minorHAnsi"/>
                <w:sz w:val="24"/>
                <w:szCs w:val="24"/>
              </w:rPr>
              <w:t xml:space="preserve"> bloc resection/posterior clearance for ovarian cancer) or a named collaborating centre for </w:t>
            </w:r>
            <w:proofErr w:type="spellStart"/>
            <w:r w:rsidR="00A11B7C" w:rsidRPr="009222E7">
              <w:rPr>
                <w:rFonts w:asciiTheme="minorHAnsi" w:hAnsiTheme="minorHAnsi" w:cstheme="minorHAnsi"/>
                <w:sz w:val="24"/>
                <w:szCs w:val="24"/>
              </w:rPr>
              <w:t>exenterative</w:t>
            </w:r>
            <w:proofErr w:type="spellEnd"/>
            <w:r w:rsidR="00A11B7C" w:rsidRPr="009222E7">
              <w:rPr>
                <w:rFonts w:asciiTheme="minorHAnsi" w:hAnsiTheme="minorHAnsi" w:cstheme="minorHAnsi"/>
                <w:sz w:val="24"/>
                <w:szCs w:val="24"/>
              </w:rPr>
              <w:t xml:space="preserve"> surgery experience</w:t>
            </w:r>
            <w:r w:rsidR="008D50E6">
              <w:rPr>
                <w:rFonts w:asciiTheme="minorHAnsi" w:hAnsiTheme="minorHAnsi" w:cstheme="minorHAnsi"/>
                <w:sz w:val="24"/>
                <w:szCs w:val="24"/>
              </w:rPr>
              <w:t xml:space="preserve"> is  greater than three.</w:t>
            </w:r>
          </w:p>
        </w:tc>
        <w:tc>
          <w:tcPr>
            <w:tcW w:w="1559" w:type="dxa"/>
          </w:tcPr>
          <w:p w14:paraId="3D765256" w14:textId="77777777" w:rsidR="00A11B7C" w:rsidRPr="009222E7" w:rsidRDefault="00A11B7C" w:rsidP="00150133">
            <w:pPr>
              <w:pStyle w:val="ListParagraph"/>
              <w:spacing w:after="0" w:line="240" w:lineRule="auto"/>
              <w:ind w:left="0"/>
              <w:rPr>
                <w:rFonts w:asciiTheme="minorHAnsi" w:hAnsiTheme="minorHAnsi" w:cstheme="minorHAnsi"/>
                <w:sz w:val="24"/>
                <w:szCs w:val="24"/>
              </w:rPr>
            </w:pPr>
          </w:p>
          <w:p w14:paraId="7F418162" w14:textId="77777777" w:rsidR="00A11B7C" w:rsidRPr="009222E7" w:rsidRDefault="00A11B7C" w:rsidP="00150133">
            <w:pPr>
              <w:pStyle w:val="ListParagraph"/>
              <w:spacing w:after="0" w:line="240" w:lineRule="auto"/>
              <w:ind w:left="0"/>
              <w:rPr>
                <w:rFonts w:asciiTheme="minorHAnsi" w:hAnsiTheme="minorHAnsi" w:cstheme="minorHAnsi"/>
                <w:sz w:val="24"/>
                <w:szCs w:val="24"/>
              </w:rPr>
            </w:pPr>
          </w:p>
          <w:p w14:paraId="0F0D8C22" w14:textId="17BA979C"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27E84692" w14:textId="77777777" w:rsidR="00150133" w:rsidRDefault="00150133" w:rsidP="00150133">
            <w:pPr>
              <w:pStyle w:val="ListParagraph"/>
              <w:spacing w:after="0" w:line="240" w:lineRule="auto"/>
              <w:ind w:left="0"/>
              <w:rPr>
                <w:rFonts w:asciiTheme="minorHAnsi" w:hAnsiTheme="minorHAnsi" w:cstheme="minorHAnsi"/>
                <w:sz w:val="24"/>
                <w:szCs w:val="24"/>
              </w:rPr>
            </w:pPr>
          </w:p>
          <w:p w14:paraId="15C5ADD3" w14:textId="62746F8C"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5BAA3757" w14:textId="5F0A2C00"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2C19ED95" w14:textId="2446E0EE"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79BC32F5" w14:textId="77777777" w:rsidR="00A11B7C" w:rsidRPr="009222E7" w:rsidRDefault="00A11B7C" w:rsidP="00150133">
            <w:pPr>
              <w:pStyle w:val="ListParagraph"/>
              <w:spacing w:after="0" w:line="240" w:lineRule="auto"/>
              <w:ind w:left="0"/>
              <w:rPr>
                <w:rFonts w:asciiTheme="minorHAnsi" w:hAnsiTheme="minorHAnsi" w:cstheme="minorHAnsi"/>
                <w:sz w:val="24"/>
                <w:szCs w:val="24"/>
              </w:rPr>
            </w:pPr>
          </w:p>
          <w:p w14:paraId="43FBEC4C" w14:textId="4E2FD7A3"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32A4ECDD" w14:textId="1C706581"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7C1F982C" w14:textId="1EF2BED0" w:rsidR="00A11B7C" w:rsidRPr="009222E7" w:rsidRDefault="00A11B7C" w:rsidP="00150133">
            <w:pPr>
              <w:spacing w:after="0" w:line="240" w:lineRule="auto"/>
              <w:rPr>
                <w:rFonts w:cstheme="minorHAnsi"/>
                <w:sz w:val="24"/>
                <w:szCs w:val="24"/>
              </w:rPr>
            </w:pPr>
            <w:r w:rsidRPr="009222E7">
              <w:rPr>
                <w:rFonts w:cstheme="minorHAnsi"/>
                <w:sz w:val="24"/>
                <w:szCs w:val="24"/>
              </w:rPr>
              <w:lastRenderedPageBreak/>
              <w:t xml:space="preserve">Yes / </w:t>
            </w:r>
            <w:r w:rsidR="007E407A">
              <w:rPr>
                <w:rFonts w:cstheme="minorHAnsi"/>
                <w:sz w:val="24"/>
                <w:szCs w:val="24"/>
              </w:rPr>
              <w:t>N</w:t>
            </w:r>
            <w:r w:rsidRPr="009222E7">
              <w:rPr>
                <w:rFonts w:cstheme="minorHAnsi"/>
                <w:sz w:val="24"/>
                <w:szCs w:val="24"/>
              </w:rPr>
              <w:t>o</w:t>
            </w:r>
          </w:p>
          <w:p w14:paraId="631DD189" w14:textId="618EE6D6" w:rsidR="00A11B7C" w:rsidRPr="009222E7" w:rsidRDefault="00A11B7C" w:rsidP="00150133">
            <w:pPr>
              <w:spacing w:after="0" w:line="240" w:lineRule="auto"/>
              <w:rPr>
                <w:rFonts w:cstheme="minorHAnsi"/>
                <w:sz w:val="24"/>
                <w:szCs w:val="24"/>
              </w:rPr>
            </w:pPr>
            <w:r w:rsidRPr="009222E7">
              <w:rPr>
                <w:rFonts w:cstheme="minorHAnsi"/>
                <w:sz w:val="24"/>
                <w:szCs w:val="24"/>
              </w:rPr>
              <w:t xml:space="preserve">Yes / </w:t>
            </w:r>
            <w:r w:rsidR="007E407A">
              <w:rPr>
                <w:rFonts w:cstheme="minorHAnsi"/>
                <w:sz w:val="24"/>
                <w:szCs w:val="24"/>
              </w:rPr>
              <w:t>N</w:t>
            </w:r>
            <w:r w:rsidRPr="009222E7">
              <w:rPr>
                <w:rFonts w:cstheme="minorHAnsi"/>
                <w:sz w:val="24"/>
                <w:szCs w:val="24"/>
              </w:rPr>
              <w:t>o</w:t>
            </w:r>
          </w:p>
          <w:p w14:paraId="2FB6C477" w14:textId="77777777" w:rsidR="00A11B7C" w:rsidRPr="009222E7" w:rsidRDefault="00A11B7C" w:rsidP="00150133">
            <w:pPr>
              <w:spacing w:after="0" w:line="240" w:lineRule="auto"/>
              <w:rPr>
                <w:rFonts w:cstheme="minorHAnsi"/>
                <w:sz w:val="24"/>
                <w:szCs w:val="24"/>
              </w:rPr>
            </w:pPr>
          </w:p>
          <w:p w14:paraId="119BDA15" w14:textId="423A7F33" w:rsidR="00A11B7C" w:rsidRPr="009222E7" w:rsidRDefault="00A11B7C" w:rsidP="00150133">
            <w:pPr>
              <w:spacing w:after="0" w:line="240" w:lineRule="auto"/>
              <w:rPr>
                <w:rFonts w:cstheme="minorHAnsi"/>
                <w:sz w:val="24"/>
                <w:szCs w:val="24"/>
              </w:rPr>
            </w:pPr>
            <w:r w:rsidRPr="009222E7">
              <w:rPr>
                <w:rFonts w:cstheme="minorHAnsi"/>
                <w:sz w:val="24"/>
                <w:szCs w:val="24"/>
              </w:rPr>
              <w:t xml:space="preserve">Yes / </w:t>
            </w:r>
            <w:r w:rsidR="007E407A">
              <w:rPr>
                <w:rFonts w:cstheme="minorHAnsi"/>
                <w:sz w:val="24"/>
                <w:szCs w:val="24"/>
              </w:rPr>
              <w:t>N</w:t>
            </w:r>
            <w:r w:rsidRPr="009222E7">
              <w:rPr>
                <w:rFonts w:cstheme="minorHAnsi"/>
                <w:sz w:val="24"/>
                <w:szCs w:val="24"/>
              </w:rPr>
              <w:t>o</w:t>
            </w:r>
          </w:p>
          <w:p w14:paraId="230A0ABB" w14:textId="592EB11A" w:rsidR="00A11B7C" w:rsidRPr="009222E7" w:rsidRDefault="00A11B7C" w:rsidP="00150133">
            <w:pPr>
              <w:spacing w:after="0" w:line="240" w:lineRule="auto"/>
              <w:rPr>
                <w:rFonts w:cstheme="minorHAnsi"/>
                <w:sz w:val="24"/>
                <w:szCs w:val="24"/>
              </w:rPr>
            </w:pPr>
            <w:r w:rsidRPr="009222E7">
              <w:rPr>
                <w:rFonts w:cstheme="minorHAnsi"/>
                <w:sz w:val="24"/>
                <w:szCs w:val="24"/>
              </w:rPr>
              <w:t xml:space="preserve">Yes / </w:t>
            </w:r>
            <w:r w:rsidR="007E407A">
              <w:rPr>
                <w:rFonts w:cstheme="minorHAnsi"/>
                <w:sz w:val="24"/>
                <w:szCs w:val="24"/>
              </w:rPr>
              <w:t>N</w:t>
            </w:r>
            <w:r w:rsidRPr="009222E7">
              <w:rPr>
                <w:rFonts w:cstheme="minorHAnsi"/>
                <w:sz w:val="24"/>
                <w:szCs w:val="24"/>
              </w:rPr>
              <w:t>o</w:t>
            </w:r>
          </w:p>
          <w:p w14:paraId="534A7D20" w14:textId="6F4D09A9" w:rsidR="00A11B7C" w:rsidRPr="009222E7" w:rsidRDefault="00A11B7C" w:rsidP="00150133">
            <w:pPr>
              <w:spacing w:after="0" w:line="240" w:lineRule="auto"/>
              <w:rPr>
                <w:rFonts w:cstheme="minorHAnsi"/>
                <w:sz w:val="24"/>
                <w:szCs w:val="24"/>
              </w:rPr>
            </w:pPr>
            <w:r w:rsidRPr="009222E7">
              <w:rPr>
                <w:rFonts w:cstheme="minorHAnsi"/>
                <w:sz w:val="24"/>
                <w:szCs w:val="24"/>
              </w:rPr>
              <w:t xml:space="preserve">Yes / </w:t>
            </w:r>
            <w:r w:rsidR="007E407A">
              <w:rPr>
                <w:rFonts w:cstheme="minorHAnsi"/>
                <w:sz w:val="24"/>
                <w:szCs w:val="24"/>
              </w:rPr>
              <w:t>N</w:t>
            </w:r>
            <w:r w:rsidRPr="009222E7">
              <w:rPr>
                <w:rFonts w:cstheme="minorHAnsi"/>
                <w:sz w:val="24"/>
                <w:szCs w:val="24"/>
              </w:rPr>
              <w:t>o</w:t>
            </w:r>
          </w:p>
          <w:p w14:paraId="6BAF229E" w14:textId="797882B7" w:rsidR="00A11B7C" w:rsidRPr="009222E7" w:rsidRDefault="00A11B7C" w:rsidP="00150133">
            <w:pPr>
              <w:spacing w:after="0" w:line="240" w:lineRule="auto"/>
              <w:rPr>
                <w:rFonts w:cstheme="minorHAnsi"/>
                <w:sz w:val="24"/>
                <w:szCs w:val="24"/>
              </w:rPr>
            </w:pPr>
            <w:r w:rsidRPr="009222E7">
              <w:rPr>
                <w:rFonts w:cstheme="minorHAnsi"/>
                <w:sz w:val="24"/>
                <w:szCs w:val="24"/>
              </w:rPr>
              <w:t xml:space="preserve">Yes / </w:t>
            </w:r>
            <w:r w:rsidR="007E407A">
              <w:rPr>
                <w:rFonts w:cstheme="minorHAnsi"/>
                <w:sz w:val="24"/>
                <w:szCs w:val="24"/>
              </w:rPr>
              <w:t>N</w:t>
            </w:r>
            <w:r w:rsidRPr="009222E7">
              <w:rPr>
                <w:rFonts w:cstheme="minorHAnsi"/>
                <w:sz w:val="24"/>
                <w:szCs w:val="24"/>
              </w:rPr>
              <w:t>o</w:t>
            </w:r>
          </w:p>
          <w:p w14:paraId="1DBB07F9" w14:textId="1F3B9D18"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tc>
        <w:tc>
          <w:tcPr>
            <w:tcW w:w="1843" w:type="dxa"/>
          </w:tcPr>
          <w:p w14:paraId="2B2DA257" w14:textId="77777777" w:rsidR="00A11B7C" w:rsidRPr="009222E7" w:rsidRDefault="00A11B7C" w:rsidP="00A11B7C">
            <w:pPr>
              <w:spacing w:after="0" w:line="240" w:lineRule="auto"/>
              <w:rPr>
                <w:rFonts w:cstheme="minorHAnsi"/>
                <w:sz w:val="24"/>
                <w:szCs w:val="24"/>
              </w:rPr>
            </w:pPr>
          </w:p>
        </w:tc>
      </w:tr>
      <w:tr w:rsidR="00A11B7C" w:rsidRPr="00A11B7C" w14:paraId="56154E11" w14:textId="77777777" w:rsidTr="009222E7">
        <w:trPr>
          <w:trHeight w:val="769"/>
        </w:trPr>
        <w:tc>
          <w:tcPr>
            <w:tcW w:w="2518" w:type="dxa"/>
            <w:vMerge/>
          </w:tcPr>
          <w:p w14:paraId="3FAE5B35" w14:textId="77777777" w:rsidR="00A11B7C" w:rsidRPr="009222E7" w:rsidRDefault="00A11B7C" w:rsidP="00A11B7C">
            <w:pPr>
              <w:pStyle w:val="ListParagraph"/>
              <w:spacing w:after="0" w:line="240" w:lineRule="auto"/>
              <w:ind w:left="360"/>
              <w:rPr>
                <w:rFonts w:asciiTheme="minorHAnsi" w:hAnsiTheme="minorHAnsi" w:cstheme="minorHAnsi"/>
                <w:b/>
                <w:sz w:val="24"/>
                <w:szCs w:val="24"/>
              </w:rPr>
            </w:pPr>
          </w:p>
        </w:tc>
        <w:tc>
          <w:tcPr>
            <w:tcW w:w="8109" w:type="dxa"/>
          </w:tcPr>
          <w:p w14:paraId="1EEDE2C9" w14:textId="12268033" w:rsidR="00A11B7C" w:rsidRPr="009222E7" w:rsidRDefault="00A11B7C" w:rsidP="00A11B7C">
            <w:pPr>
              <w:spacing w:after="0" w:line="240" w:lineRule="auto"/>
              <w:rPr>
                <w:rFonts w:cstheme="minorHAnsi"/>
                <w:sz w:val="24"/>
                <w:szCs w:val="24"/>
              </w:rPr>
            </w:pPr>
            <w:r w:rsidRPr="009222E7">
              <w:rPr>
                <w:rFonts w:cstheme="minorHAnsi"/>
                <w:sz w:val="24"/>
                <w:szCs w:val="24"/>
              </w:rPr>
              <w:t>Pre-invasive disease service</w:t>
            </w:r>
            <w:r w:rsidR="008D50E6">
              <w:rPr>
                <w:rFonts w:cstheme="minorHAnsi"/>
                <w:sz w:val="24"/>
                <w:szCs w:val="24"/>
              </w:rPr>
              <w:t>:</w:t>
            </w:r>
          </w:p>
          <w:p w14:paraId="27220D64" w14:textId="210E6682" w:rsidR="00A11B7C" w:rsidRPr="009222E7" w:rsidRDefault="008D50E6" w:rsidP="00A11B7C">
            <w:pPr>
              <w:pStyle w:val="ListParagraph"/>
              <w:numPr>
                <w:ilvl w:val="0"/>
                <w:numId w:val="2"/>
              </w:numPr>
              <w:spacing w:after="0" w:line="240" w:lineRule="auto"/>
              <w:rPr>
                <w:rFonts w:asciiTheme="minorHAnsi" w:hAnsiTheme="minorHAnsi" w:cstheme="minorHAnsi"/>
                <w:sz w:val="24"/>
                <w:szCs w:val="24"/>
              </w:rPr>
            </w:pPr>
            <w:r>
              <w:rPr>
                <w:rFonts w:asciiTheme="minorHAnsi" w:hAnsiTheme="minorHAnsi" w:cstheme="minorHAnsi"/>
                <w:sz w:val="24"/>
                <w:szCs w:val="24"/>
              </w:rPr>
              <w:t>N</w:t>
            </w:r>
            <w:r w:rsidR="00A11B7C" w:rsidRPr="009222E7">
              <w:rPr>
                <w:rFonts w:asciiTheme="minorHAnsi" w:hAnsiTheme="minorHAnsi" w:cstheme="minorHAnsi"/>
                <w:sz w:val="24"/>
                <w:szCs w:val="24"/>
              </w:rPr>
              <w:t>ew referrals for abnormal cervical cytology</w:t>
            </w:r>
            <w:r>
              <w:rPr>
                <w:rFonts w:asciiTheme="minorHAnsi" w:hAnsiTheme="minorHAnsi" w:cstheme="minorHAnsi"/>
                <w:sz w:val="24"/>
                <w:szCs w:val="24"/>
              </w:rPr>
              <w:t xml:space="preserve"> is greater than </w:t>
            </w:r>
            <w:r w:rsidRPr="009222E7">
              <w:rPr>
                <w:rFonts w:asciiTheme="minorHAnsi" w:hAnsiTheme="minorHAnsi" w:cstheme="minorHAnsi"/>
                <w:sz w:val="24"/>
                <w:szCs w:val="24"/>
              </w:rPr>
              <w:t>250</w:t>
            </w:r>
            <w:r>
              <w:rPr>
                <w:rFonts w:asciiTheme="minorHAnsi" w:hAnsiTheme="minorHAnsi" w:cstheme="minorHAnsi"/>
                <w:sz w:val="24"/>
                <w:szCs w:val="24"/>
              </w:rPr>
              <w:t>.</w:t>
            </w:r>
          </w:p>
          <w:p w14:paraId="60687D08" w14:textId="15C450B5" w:rsidR="00A11B7C" w:rsidRPr="009222E7" w:rsidRDefault="008D50E6" w:rsidP="00150133">
            <w:pPr>
              <w:pStyle w:val="ListParagraph"/>
              <w:numPr>
                <w:ilvl w:val="0"/>
                <w:numId w:val="2"/>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New </w:t>
            </w:r>
            <w:r w:rsidR="00A11B7C" w:rsidRPr="009222E7">
              <w:rPr>
                <w:rFonts w:asciiTheme="minorHAnsi" w:hAnsiTheme="minorHAnsi" w:cstheme="minorHAnsi"/>
                <w:sz w:val="24"/>
                <w:szCs w:val="24"/>
              </w:rPr>
              <w:t xml:space="preserve">referrals for </w:t>
            </w:r>
            <w:proofErr w:type="spellStart"/>
            <w:r w:rsidR="00150133" w:rsidRPr="00150133">
              <w:rPr>
                <w:rFonts w:asciiTheme="minorHAnsi" w:hAnsiTheme="minorHAnsi" w:cstheme="minorHAnsi"/>
                <w:sz w:val="24"/>
                <w:szCs w:val="24"/>
              </w:rPr>
              <w:t>Vulval</w:t>
            </w:r>
            <w:proofErr w:type="spellEnd"/>
            <w:r w:rsidR="00150133" w:rsidRPr="00150133">
              <w:rPr>
                <w:rFonts w:asciiTheme="minorHAnsi" w:hAnsiTheme="minorHAnsi" w:cstheme="minorHAnsi"/>
                <w:sz w:val="24"/>
                <w:szCs w:val="24"/>
              </w:rPr>
              <w:t xml:space="preserve"> intraepithelial neoplasia</w:t>
            </w:r>
            <w:r w:rsidR="00150133">
              <w:t xml:space="preserve"> (</w:t>
            </w:r>
            <w:r w:rsidR="00A11B7C" w:rsidRPr="009222E7">
              <w:rPr>
                <w:rFonts w:asciiTheme="minorHAnsi" w:hAnsiTheme="minorHAnsi" w:cstheme="minorHAnsi"/>
                <w:sz w:val="24"/>
                <w:szCs w:val="24"/>
              </w:rPr>
              <w:t>VIN</w:t>
            </w:r>
            <w:r w:rsidR="00150133">
              <w:rPr>
                <w:rFonts w:asciiTheme="minorHAnsi" w:hAnsiTheme="minorHAnsi" w:cstheme="minorHAnsi"/>
                <w:sz w:val="24"/>
                <w:szCs w:val="24"/>
              </w:rPr>
              <w:t>)/</w:t>
            </w:r>
            <w:r w:rsidR="00150133" w:rsidRPr="00974690">
              <w:t xml:space="preserve"> </w:t>
            </w:r>
            <w:proofErr w:type="gramStart"/>
            <w:r w:rsidR="00150133">
              <w:rPr>
                <w:rFonts w:asciiTheme="minorHAnsi" w:hAnsiTheme="minorHAnsi" w:cstheme="minorHAnsi"/>
                <w:sz w:val="24"/>
                <w:szCs w:val="24"/>
              </w:rPr>
              <w:t>Vaginal</w:t>
            </w:r>
            <w:proofErr w:type="gramEnd"/>
            <w:r w:rsidR="00150133" w:rsidRPr="00150133">
              <w:rPr>
                <w:rFonts w:asciiTheme="minorHAnsi" w:hAnsiTheme="minorHAnsi" w:cstheme="minorHAnsi"/>
                <w:sz w:val="24"/>
                <w:szCs w:val="24"/>
              </w:rPr>
              <w:t xml:space="preserve"> intraepithelial neoplasia</w:t>
            </w:r>
            <w:r w:rsidR="00150133">
              <w:rPr>
                <w:rFonts w:asciiTheme="minorHAnsi" w:hAnsiTheme="minorHAnsi" w:cstheme="minorHAnsi"/>
                <w:sz w:val="24"/>
                <w:szCs w:val="24"/>
              </w:rPr>
              <w:t xml:space="preserve"> (</w:t>
            </w:r>
            <w:proofErr w:type="spellStart"/>
            <w:r w:rsidR="00150133">
              <w:rPr>
                <w:rFonts w:asciiTheme="minorHAnsi" w:hAnsiTheme="minorHAnsi" w:cstheme="minorHAnsi"/>
                <w:sz w:val="24"/>
                <w:szCs w:val="24"/>
              </w:rPr>
              <w:t>Va</w:t>
            </w:r>
            <w:r w:rsidR="00A11B7C" w:rsidRPr="009222E7">
              <w:rPr>
                <w:rFonts w:asciiTheme="minorHAnsi" w:hAnsiTheme="minorHAnsi" w:cstheme="minorHAnsi"/>
                <w:sz w:val="24"/>
                <w:szCs w:val="24"/>
              </w:rPr>
              <w:t>IN</w:t>
            </w:r>
            <w:proofErr w:type="spellEnd"/>
            <w:r w:rsidR="00150133">
              <w:rPr>
                <w:rFonts w:asciiTheme="minorHAnsi" w:hAnsiTheme="minorHAnsi" w:cstheme="minorHAnsi"/>
                <w:sz w:val="24"/>
                <w:szCs w:val="24"/>
              </w:rPr>
              <w:t>)</w:t>
            </w:r>
            <w:r>
              <w:rPr>
                <w:rFonts w:asciiTheme="minorHAnsi" w:hAnsiTheme="minorHAnsi" w:cstheme="minorHAnsi"/>
                <w:sz w:val="24"/>
                <w:szCs w:val="24"/>
              </w:rPr>
              <w:t xml:space="preserve"> is greater than 15.</w:t>
            </w:r>
          </w:p>
        </w:tc>
        <w:tc>
          <w:tcPr>
            <w:tcW w:w="1559" w:type="dxa"/>
          </w:tcPr>
          <w:p w14:paraId="23919598" w14:textId="77777777" w:rsidR="00A11B7C" w:rsidRPr="009222E7" w:rsidRDefault="00A11B7C" w:rsidP="00150133">
            <w:pPr>
              <w:pStyle w:val="ListParagraph"/>
              <w:spacing w:after="0" w:line="240" w:lineRule="auto"/>
              <w:ind w:left="0"/>
              <w:rPr>
                <w:rFonts w:asciiTheme="minorHAnsi" w:hAnsiTheme="minorHAnsi" w:cstheme="minorHAnsi"/>
                <w:sz w:val="24"/>
                <w:szCs w:val="24"/>
              </w:rPr>
            </w:pPr>
          </w:p>
          <w:p w14:paraId="23249B19" w14:textId="4D0669E0"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4E5ECE5F" w14:textId="0A188D25"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tc>
        <w:tc>
          <w:tcPr>
            <w:tcW w:w="1843" w:type="dxa"/>
          </w:tcPr>
          <w:p w14:paraId="261FE682" w14:textId="77777777" w:rsidR="00A11B7C" w:rsidRPr="009222E7" w:rsidRDefault="00A11B7C" w:rsidP="00A11B7C">
            <w:pPr>
              <w:pStyle w:val="ListParagraph"/>
              <w:spacing w:after="0" w:line="240" w:lineRule="auto"/>
              <w:ind w:left="0"/>
              <w:jc w:val="both"/>
              <w:rPr>
                <w:rFonts w:asciiTheme="minorHAnsi" w:hAnsiTheme="minorHAnsi" w:cstheme="minorHAnsi"/>
                <w:sz w:val="24"/>
                <w:szCs w:val="24"/>
              </w:rPr>
            </w:pPr>
          </w:p>
          <w:p w14:paraId="30DAD475" w14:textId="77777777" w:rsidR="00A11B7C" w:rsidRPr="009222E7" w:rsidRDefault="00A11B7C" w:rsidP="00A11B7C">
            <w:pPr>
              <w:pStyle w:val="ListParagraph"/>
              <w:spacing w:after="0" w:line="240" w:lineRule="auto"/>
              <w:ind w:left="0"/>
              <w:jc w:val="both"/>
              <w:rPr>
                <w:rFonts w:asciiTheme="minorHAnsi" w:hAnsiTheme="minorHAnsi" w:cstheme="minorHAnsi"/>
                <w:sz w:val="24"/>
                <w:szCs w:val="24"/>
              </w:rPr>
            </w:pPr>
          </w:p>
        </w:tc>
      </w:tr>
      <w:tr w:rsidR="00A11B7C" w:rsidRPr="00A11B7C" w14:paraId="486FDF8A" w14:textId="77777777" w:rsidTr="009222E7">
        <w:trPr>
          <w:trHeight w:val="282"/>
        </w:trPr>
        <w:tc>
          <w:tcPr>
            <w:tcW w:w="2518" w:type="dxa"/>
            <w:vMerge w:val="restart"/>
          </w:tcPr>
          <w:p w14:paraId="0A60B98C" w14:textId="77777777" w:rsidR="00A11B7C" w:rsidRPr="009222E7" w:rsidRDefault="00A11B7C" w:rsidP="009222E7">
            <w:pPr>
              <w:pStyle w:val="ListParagraph"/>
              <w:numPr>
                <w:ilvl w:val="0"/>
                <w:numId w:val="9"/>
              </w:numPr>
              <w:spacing w:after="0" w:line="240" w:lineRule="auto"/>
              <w:rPr>
                <w:rFonts w:asciiTheme="minorHAnsi" w:hAnsiTheme="minorHAnsi" w:cstheme="minorHAnsi"/>
                <w:b/>
                <w:sz w:val="24"/>
                <w:szCs w:val="24"/>
              </w:rPr>
            </w:pPr>
            <w:r w:rsidRPr="009222E7">
              <w:rPr>
                <w:rFonts w:asciiTheme="minorHAnsi" w:hAnsiTheme="minorHAnsi" w:cstheme="minorHAnsi"/>
                <w:b/>
                <w:sz w:val="24"/>
                <w:szCs w:val="24"/>
              </w:rPr>
              <w:t>Service Organisation</w:t>
            </w:r>
          </w:p>
        </w:tc>
        <w:tc>
          <w:tcPr>
            <w:tcW w:w="8109" w:type="dxa"/>
          </w:tcPr>
          <w:p w14:paraId="0A7F79A0" w14:textId="2A1CAB69" w:rsidR="00A11B7C" w:rsidRPr="006C4A96" w:rsidRDefault="00C011E4" w:rsidP="006C4A96">
            <w:pPr>
              <w:spacing w:after="0" w:line="240" w:lineRule="auto"/>
              <w:rPr>
                <w:rFonts w:cstheme="minorHAnsi"/>
                <w:sz w:val="24"/>
                <w:szCs w:val="24"/>
              </w:rPr>
            </w:pPr>
            <w:r>
              <w:rPr>
                <w:rFonts w:cstheme="minorHAnsi"/>
                <w:sz w:val="24"/>
                <w:szCs w:val="24"/>
              </w:rPr>
              <w:t>At least two</w:t>
            </w:r>
            <w:r w:rsidR="00A11B7C" w:rsidRPr="006C4A96">
              <w:rPr>
                <w:rFonts w:cstheme="minorHAnsi"/>
                <w:iCs/>
                <w:sz w:val="24"/>
                <w:szCs w:val="24"/>
              </w:rPr>
              <w:t xml:space="preserve"> accredited subspecialist consultants in G</w:t>
            </w:r>
            <w:r w:rsidR="00A11B7C" w:rsidRPr="006C4A96">
              <w:rPr>
                <w:rFonts w:cstheme="minorHAnsi"/>
                <w:sz w:val="24"/>
                <w:szCs w:val="24"/>
              </w:rPr>
              <w:t xml:space="preserve">ynaecological Oncology </w:t>
            </w:r>
            <w:r w:rsidR="00552F74">
              <w:rPr>
                <w:rFonts w:cstheme="minorHAnsi"/>
                <w:sz w:val="24"/>
                <w:szCs w:val="24"/>
              </w:rPr>
              <w:t>within unit.</w:t>
            </w:r>
          </w:p>
        </w:tc>
        <w:tc>
          <w:tcPr>
            <w:tcW w:w="1559" w:type="dxa"/>
          </w:tcPr>
          <w:p w14:paraId="5769B0FC" w14:textId="6AEB84F4"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0CB7A6CA" w14:textId="1A0DEC22" w:rsidR="00A11B7C" w:rsidRPr="009222E7" w:rsidRDefault="00A11B7C" w:rsidP="00150133">
            <w:pPr>
              <w:pStyle w:val="ListParagraph"/>
              <w:spacing w:after="0" w:line="240" w:lineRule="auto"/>
              <w:ind w:left="0"/>
              <w:rPr>
                <w:rFonts w:asciiTheme="minorHAnsi" w:hAnsiTheme="minorHAnsi" w:cstheme="minorHAnsi"/>
                <w:sz w:val="24"/>
                <w:szCs w:val="24"/>
              </w:rPr>
            </w:pPr>
          </w:p>
        </w:tc>
        <w:tc>
          <w:tcPr>
            <w:tcW w:w="1843" w:type="dxa"/>
          </w:tcPr>
          <w:p w14:paraId="7C8654CB" w14:textId="77777777" w:rsidR="00A11B7C" w:rsidRPr="009222E7" w:rsidRDefault="00A11B7C" w:rsidP="00A11B7C">
            <w:pPr>
              <w:pStyle w:val="ListParagraph"/>
              <w:spacing w:after="0" w:line="240" w:lineRule="auto"/>
              <w:ind w:left="0"/>
              <w:jc w:val="both"/>
              <w:rPr>
                <w:rFonts w:asciiTheme="minorHAnsi" w:hAnsiTheme="minorHAnsi" w:cstheme="minorHAnsi"/>
                <w:sz w:val="24"/>
                <w:szCs w:val="24"/>
              </w:rPr>
            </w:pPr>
          </w:p>
        </w:tc>
      </w:tr>
      <w:tr w:rsidR="00552F74" w:rsidRPr="00A11B7C" w14:paraId="1CE3C030" w14:textId="77777777" w:rsidTr="009222E7">
        <w:trPr>
          <w:trHeight w:val="282"/>
        </w:trPr>
        <w:tc>
          <w:tcPr>
            <w:tcW w:w="2518" w:type="dxa"/>
            <w:vMerge/>
          </w:tcPr>
          <w:p w14:paraId="66DA3635" w14:textId="77777777" w:rsidR="00552F74" w:rsidRPr="009222E7" w:rsidRDefault="00552F74" w:rsidP="00A11B7C">
            <w:pPr>
              <w:spacing w:after="0" w:line="240" w:lineRule="auto"/>
              <w:rPr>
                <w:rFonts w:cstheme="minorHAnsi"/>
                <w:b/>
                <w:sz w:val="24"/>
                <w:szCs w:val="24"/>
              </w:rPr>
            </w:pPr>
          </w:p>
        </w:tc>
        <w:tc>
          <w:tcPr>
            <w:tcW w:w="8109" w:type="dxa"/>
          </w:tcPr>
          <w:p w14:paraId="5C5E71A2" w14:textId="63176469" w:rsidR="00552F74" w:rsidRPr="009222E7" w:rsidRDefault="00552F74" w:rsidP="00A11B7C">
            <w:pPr>
              <w:spacing w:after="0" w:line="240" w:lineRule="auto"/>
              <w:rPr>
                <w:rFonts w:cstheme="minorHAnsi"/>
                <w:iCs/>
                <w:sz w:val="24"/>
                <w:szCs w:val="24"/>
              </w:rPr>
            </w:pPr>
            <w:r w:rsidRPr="006C4A96">
              <w:rPr>
                <w:rFonts w:cstheme="minorHAnsi"/>
                <w:sz w:val="24"/>
                <w:szCs w:val="24"/>
              </w:rPr>
              <w:t>Week</w:t>
            </w:r>
            <w:r w:rsidR="00C011E4">
              <w:rPr>
                <w:rFonts w:cstheme="minorHAnsi"/>
                <w:sz w:val="24"/>
                <w:szCs w:val="24"/>
              </w:rPr>
              <w:t>ly, fully constituted centre multi-disciplinary team (MDT)</w:t>
            </w:r>
          </w:p>
        </w:tc>
        <w:tc>
          <w:tcPr>
            <w:tcW w:w="1559" w:type="dxa"/>
          </w:tcPr>
          <w:p w14:paraId="2E3A40A6" w14:textId="68586D8A" w:rsidR="00552F74" w:rsidRPr="009222E7" w:rsidRDefault="00552F74"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tc>
        <w:tc>
          <w:tcPr>
            <w:tcW w:w="1843" w:type="dxa"/>
          </w:tcPr>
          <w:p w14:paraId="0BCEF042" w14:textId="77777777" w:rsidR="00552F74" w:rsidRPr="009222E7" w:rsidRDefault="00552F74" w:rsidP="00A11B7C">
            <w:pPr>
              <w:pStyle w:val="ListParagraph"/>
              <w:spacing w:after="0" w:line="240" w:lineRule="auto"/>
              <w:ind w:left="0"/>
              <w:jc w:val="both"/>
              <w:rPr>
                <w:rFonts w:asciiTheme="minorHAnsi" w:hAnsiTheme="minorHAnsi" w:cstheme="minorHAnsi"/>
                <w:sz w:val="24"/>
                <w:szCs w:val="24"/>
              </w:rPr>
            </w:pPr>
          </w:p>
        </w:tc>
      </w:tr>
      <w:tr w:rsidR="00A11B7C" w:rsidRPr="00A11B7C" w14:paraId="147B8D19" w14:textId="77777777" w:rsidTr="009222E7">
        <w:trPr>
          <w:trHeight w:val="282"/>
        </w:trPr>
        <w:tc>
          <w:tcPr>
            <w:tcW w:w="2518" w:type="dxa"/>
            <w:vMerge/>
          </w:tcPr>
          <w:p w14:paraId="06DF8B46" w14:textId="77777777" w:rsidR="00A11B7C" w:rsidRPr="009222E7" w:rsidRDefault="00A11B7C" w:rsidP="00A11B7C">
            <w:pPr>
              <w:spacing w:after="0" w:line="240" w:lineRule="auto"/>
              <w:rPr>
                <w:rFonts w:cstheme="minorHAnsi"/>
                <w:b/>
                <w:sz w:val="24"/>
                <w:szCs w:val="24"/>
              </w:rPr>
            </w:pPr>
          </w:p>
        </w:tc>
        <w:tc>
          <w:tcPr>
            <w:tcW w:w="8109" w:type="dxa"/>
          </w:tcPr>
          <w:p w14:paraId="48EEC39D" w14:textId="77777777" w:rsidR="00A11B7C" w:rsidRPr="009222E7" w:rsidRDefault="00A11B7C" w:rsidP="00A11B7C">
            <w:pPr>
              <w:spacing w:after="0" w:line="240" w:lineRule="auto"/>
              <w:rPr>
                <w:rFonts w:cstheme="minorHAnsi"/>
                <w:iCs/>
                <w:sz w:val="24"/>
                <w:szCs w:val="24"/>
              </w:rPr>
            </w:pPr>
            <w:r w:rsidRPr="009222E7">
              <w:rPr>
                <w:rFonts w:cstheme="minorHAnsi"/>
                <w:iCs/>
                <w:sz w:val="24"/>
                <w:szCs w:val="24"/>
              </w:rPr>
              <w:t>Access to and demonstrable working relationships with:</w:t>
            </w:r>
          </w:p>
          <w:p w14:paraId="0AD326F2" w14:textId="77777777" w:rsidR="00A11B7C" w:rsidRPr="009222E7" w:rsidRDefault="00A11B7C" w:rsidP="006C4A96">
            <w:pPr>
              <w:numPr>
                <w:ilvl w:val="0"/>
                <w:numId w:val="7"/>
              </w:numPr>
              <w:spacing w:after="0" w:line="240" w:lineRule="auto"/>
              <w:ind w:left="357" w:hanging="357"/>
              <w:rPr>
                <w:rFonts w:cstheme="minorHAnsi"/>
                <w:sz w:val="24"/>
                <w:szCs w:val="24"/>
              </w:rPr>
            </w:pPr>
            <w:r w:rsidRPr="009222E7">
              <w:rPr>
                <w:rFonts w:cstheme="minorHAnsi"/>
                <w:sz w:val="24"/>
                <w:szCs w:val="24"/>
              </w:rPr>
              <w:t>Clinical Oncology</w:t>
            </w:r>
          </w:p>
          <w:p w14:paraId="6189BB46" w14:textId="77777777" w:rsidR="00A11B7C" w:rsidRPr="009222E7" w:rsidRDefault="00A11B7C" w:rsidP="006C4A96">
            <w:pPr>
              <w:pStyle w:val="ListParagraph"/>
              <w:numPr>
                <w:ilvl w:val="0"/>
                <w:numId w:val="3"/>
              </w:numPr>
              <w:spacing w:after="0" w:line="240" w:lineRule="auto"/>
              <w:ind w:left="357" w:hanging="357"/>
              <w:rPr>
                <w:rFonts w:asciiTheme="minorHAnsi" w:hAnsiTheme="minorHAnsi" w:cstheme="minorHAnsi"/>
                <w:sz w:val="24"/>
                <w:szCs w:val="24"/>
              </w:rPr>
            </w:pPr>
            <w:r w:rsidRPr="009222E7">
              <w:rPr>
                <w:rFonts w:asciiTheme="minorHAnsi" w:hAnsiTheme="minorHAnsi" w:cstheme="minorHAnsi"/>
                <w:sz w:val="24"/>
                <w:szCs w:val="24"/>
              </w:rPr>
              <w:t>Medical Oncology</w:t>
            </w:r>
          </w:p>
          <w:p w14:paraId="7BE25075" w14:textId="77777777" w:rsidR="00A11B7C" w:rsidRPr="009222E7" w:rsidRDefault="00A11B7C" w:rsidP="006C4A96">
            <w:pPr>
              <w:pStyle w:val="ListParagraph"/>
              <w:numPr>
                <w:ilvl w:val="0"/>
                <w:numId w:val="3"/>
              </w:numPr>
              <w:spacing w:after="0" w:line="240" w:lineRule="auto"/>
              <w:ind w:left="357" w:hanging="357"/>
              <w:rPr>
                <w:rFonts w:asciiTheme="minorHAnsi" w:hAnsiTheme="minorHAnsi" w:cstheme="minorHAnsi"/>
                <w:sz w:val="24"/>
                <w:szCs w:val="24"/>
              </w:rPr>
            </w:pPr>
            <w:r w:rsidRPr="009222E7">
              <w:rPr>
                <w:rFonts w:asciiTheme="minorHAnsi" w:hAnsiTheme="minorHAnsi" w:cstheme="minorHAnsi"/>
                <w:sz w:val="24"/>
                <w:szCs w:val="24"/>
              </w:rPr>
              <w:t>Colorectal surgery</w:t>
            </w:r>
            <w:r w:rsidR="003412D2" w:rsidRPr="009222E7">
              <w:rPr>
                <w:rFonts w:asciiTheme="minorHAnsi" w:hAnsiTheme="minorHAnsi" w:cstheme="minorHAnsi"/>
                <w:sz w:val="24"/>
                <w:szCs w:val="24"/>
                <w:vertAlign w:val="superscript"/>
              </w:rPr>
              <w:t>3</w:t>
            </w:r>
            <w:r w:rsidRPr="009222E7">
              <w:rPr>
                <w:rFonts w:asciiTheme="minorHAnsi" w:hAnsiTheme="minorHAnsi" w:cstheme="minorHAnsi"/>
                <w:sz w:val="24"/>
                <w:szCs w:val="24"/>
              </w:rPr>
              <w:t xml:space="preserve"> (including named colorectal surgeon responsible for G</w:t>
            </w:r>
            <w:r w:rsidR="00C975D9" w:rsidRPr="009222E7">
              <w:rPr>
                <w:rFonts w:asciiTheme="minorHAnsi" w:hAnsiTheme="minorHAnsi" w:cstheme="minorHAnsi"/>
                <w:sz w:val="24"/>
                <w:szCs w:val="24"/>
              </w:rPr>
              <w:t>ynaecological Oncology subspecialty training</w:t>
            </w:r>
            <w:r w:rsidRPr="009222E7">
              <w:rPr>
                <w:rFonts w:asciiTheme="minorHAnsi" w:hAnsiTheme="minorHAnsi" w:cstheme="minorHAnsi"/>
                <w:sz w:val="24"/>
                <w:szCs w:val="24"/>
              </w:rPr>
              <w:t>)</w:t>
            </w:r>
          </w:p>
          <w:p w14:paraId="34358527" w14:textId="77777777" w:rsidR="00A11B7C" w:rsidRPr="009222E7" w:rsidRDefault="00A11B7C" w:rsidP="006C4A96">
            <w:pPr>
              <w:pStyle w:val="ListParagraph"/>
              <w:numPr>
                <w:ilvl w:val="0"/>
                <w:numId w:val="3"/>
              </w:numPr>
              <w:spacing w:after="0" w:line="240" w:lineRule="auto"/>
              <w:ind w:left="357" w:hanging="357"/>
              <w:rPr>
                <w:rFonts w:asciiTheme="minorHAnsi" w:hAnsiTheme="minorHAnsi" w:cstheme="minorHAnsi"/>
                <w:sz w:val="24"/>
                <w:szCs w:val="24"/>
              </w:rPr>
            </w:pPr>
            <w:r w:rsidRPr="009222E7">
              <w:rPr>
                <w:rFonts w:asciiTheme="minorHAnsi" w:hAnsiTheme="minorHAnsi" w:cstheme="minorHAnsi"/>
                <w:sz w:val="24"/>
                <w:szCs w:val="24"/>
              </w:rPr>
              <w:t>Urological oncology</w:t>
            </w:r>
          </w:p>
          <w:p w14:paraId="0441EB55" w14:textId="77777777" w:rsidR="00A11B7C" w:rsidRPr="009222E7" w:rsidRDefault="00A11B7C" w:rsidP="006C4A96">
            <w:pPr>
              <w:pStyle w:val="ListParagraph"/>
              <w:numPr>
                <w:ilvl w:val="0"/>
                <w:numId w:val="3"/>
              </w:numPr>
              <w:spacing w:after="0" w:line="240" w:lineRule="auto"/>
              <w:ind w:left="357" w:hanging="357"/>
              <w:rPr>
                <w:rFonts w:asciiTheme="minorHAnsi" w:hAnsiTheme="minorHAnsi" w:cstheme="minorHAnsi"/>
                <w:sz w:val="24"/>
                <w:szCs w:val="24"/>
              </w:rPr>
            </w:pPr>
            <w:r w:rsidRPr="009222E7">
              <w:rPr>
                <w:rFonts w:asciiTheme="minorHAnsi" w:hAnsiTheme="minorHAnsi" w:cstheme="minorHAnsi"/>
                <w:sz w:val="24"/>
                <w:szCs w:val="24"/>
              </w:rPr>
              <w:t>Plastic surgery</w:t>
            </w:r>
          </w:p>
          <w:p w14:paraId="6FEDDE43" w14:textId="77777777" w:rsidR="00A11B7C" w:rsidRPr="009222E7" w:rsidRDefault="00C975D9" w:rsidP="006C4A96">
            <w:pPr>
              <w:pStyle w:val="ListParagraph"/>
              <w:numPr>
                <w:ilvl w:val="0"/>
                <w:numId w:val="3"/>
              </w:numPr>
              <w:spacing w:after="0" w:line="240" w:lineRule="auto"/>
              <w:ind w:left="357" w:hanging="357"/>
              <w:rPr>
                <w:rFonts w:asciiTheme="minorHAnsi" w:hAnsiTheme="minorHAnsi" w:cstheme="minorHAnsi"/>
                <w:sz w:val="24"/>
                <w:szCs w:val="24"/>
              </w:rPr>
            </w:pPr>
            <w:r w:rsidRPr="009222E7">
              <w:rPr>
                <w:rFonts w:asciiTheme="minorHAnsi" w:hAnsiTheme="minorHAnsi" w:cstheme="minorHAnsi"/>
                <w:sz w:val="24"/>
                <w:szCs w:val="24"/>
              </w:rPr>
              <w:t>Anaesthetics and</w:t>
            </w:r>
            <w:r w:rsidR="00A11B7C" w:rsidRPr="009222E7">
              <w:rPr>
                <w:rFonts w:asciiTheme="minorHAnsi" w:hAnsiTheme="minorHAnsi" w:cstheme="minorHAnsi"/>
                <w:sz w:val="24"/>
                <w:szCs w:val="24"/>
              </w:rPr>
              <w:t xml:space="preserve"> critical care</w:t>
            </w:r>
          </w:p>
          <w:p w14:paraId="1374ADFF" w14:textId="77777777" w:rsidR="00A11B7C" w:rsidRPr="009222E7" w:rsidRDefault="00A11B7C" w:rsidP="006C4A96">
            <w:pPr>
              <w:pStyle w:val="ListParagraph"/>
              <w:numPr>
                <w:ilvl w:val="0"/>
                <w:numId w:val="3"/>
              </w:numPr>
              <w:spacing w:after="0" w:line="240" w:lineRule="auto"/>
              <w:ind w:left="357" w:hanging="357"/>
              <w:rPr>
                <w:rFonts w:asciiTheme="minorHAnsi" w:hAnsiTheme="minorHAnsi" w:cstheme="minorHAnsi"/>
                <w:sz w:val="24"/>
                <w:szCs w:val="24"/>
              </w:rPr>
            </w:pPr>
            <w:r w:rsidRPr="009222E7">
              <w:rPr>
                <w:rFonts w:asciiTheme="minorHAnsi" w:hAnsiTheme="minorHAnsi" w:cstheme="minorHAnsi"/>
                <w:sz w:val="24"/>
                <w:szCs w:val="24"/>
              </w:rPr>
              <w:lastRenderedPageBreak/>
              <w:t xml:space="preserve">Supportive </w:t>
            </w:r>
            <w:r w:rsidR="00C975D9" w:rsidRPr="009222E7">
              <w:rPr>
                <w:rFonts w:asciiTheme="minorHAnsi" w:hAnsiTheme="minorHAnsi" w:cstheme="minorHAnsi"/>
                <w:sz w:val="24"/>
                <w:szCs w:val="24"/>
              </w:rPr>
              <w:t>and</w:t>
            </w:r>
            <w:r w:rsidRPr="009222E7">
              <w:rPr>
                <w:rFonts w:asciiTheme="minorHAnsi" w:hAnsiTheme="minorHAnsi" w:cstheme="minorHAnsi"/>
                <w:sz w:val="24"/>
                <w:szCs w:val="24"/>
              </w:rPr>
              <w:t xml:space="preserve"> palliative care</w:t>
            </w:r>
          </w:p>
          <w:p w14:paraId="7E43DAA3" w14:textId="77777777" w:rsidR="00A11B7C" w:rsidRPr="009222E7" w:rsidRDefault="00A11B7C" w:rsidP="006C4A96">
            <w:pPr>
              <w:pStyle w:val="ListParagraph"/>
              <w:numPr>
                <w:ilvl w:val="0"/>
                <w:numId w:val="3"/>
              </w:numPr>
              <w:spacing w:after="0" w:line="240" w:lineRule="auto"/>
              <w:ind w:left="357" w:hanging="357"/>
              <w:rPr>
                <w:rFonts w:asciiTheme="minorHAnsi" w:hAnsiTheme="minorHAnsi" w:cstheme="minorHAnsi"/>
                <w:sz w:val="24"/>
                <w:szCs w:val="24"/>
              </w:rPr>
            </w:pPr>
            <w:r w:rsidRPr="009222E7">
              <w:rPr>
                <w:rFonts w:asciiTheme="minorHAnsi" w:hAnsiTheme="minorHAnsi" w:cstheme="minorHAnsi"/>
                <w:sz w:val="24"/>
                <w:szCs w:val="24"/>
              </w:rPr>
              <w:t>Radiology</w:t>
            </w:r>
          </w:p>
        </w:tc>
        <w:tc>
          <w:tcPr>
            <w:tcW w:w="1559" w:type="dxa"/>
          </w:tcPr>
          <w:p w14:paraId="0C27989A" w14:textId="77777777" w:rsidR="00A11B7C" w:rsidRPr="009222E7" w:rsidRDefault="00A11B7C" w:rsidP="00150133">
            <w:pPr>
              <w:pStyle w:val="ListParagraph"/>
              <w:spacing w:after="0" w:line="240" w:lineRule="auto"/>
              <w:ind w:left="0"/>
              <w:rPr>
                <w:rFonts w:asciiTheme="minorHAnsi" w:hAnsiTheme="minorHAnsi" w:cstheme="minorHAnsi"/>
                <w:sz w:val="24"/>
                <w:szCs w:val="24"/>
              </w:rPr>
            </w:pPr>
          </w:p>
          <w:p w14:paraId="6616094F" w14:textId="236F2C5D"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767012D5" w14:textId="7B05AE78"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448F6E3D" w14:textId="240324C3"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119AED3E" w14:textId="77777777" w:rsidR="003D5B4B" w:rsidRDefault="003D5B4B" w:rsidP="00150133">
            <w:pPr>
              <w:pStyle w:val="ListParagraph"/>
              <w:spacing w:after="0" w:line="240" w:lineRule="auto"/>
              <w:ind w:left="0"/>
              <w:rPr>
                <w:rFonts w:asciiTheme="minorHAnsi" w:hAnsiTheme="minorHAnsi" w:cstheme="minorHAnsi"/>
                <w:sz w:val="24"/>
                <w:szCs w:val="24"/>
              </w:rPr>
            </w:pPr>
          </w:p>
          <w:p w14:paraId="4D84F38D" w14:textId="27A6075C"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00803674" w14:textId="277528F1"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51B5A587" w14:textId="54B07B31"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409C1E63" w14:textId="1172F83F"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404681F3" w14:textId="02AA3C84"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lastRenderedPageBreak/>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tc>
        <w:tc>
          <w:tcPr>
            <w:tcW w:w="1843" w:type="dxa"/>
          </w:tcPr>
          <w:p w14:paraId="6BF413C7" w14:textId="77777777" w:rsidR="00A11B7C" w:rsidRPr="009222E7" w:rsidRDefault="00A11B7C" w:rsidP="00A11B7C">
            <w:pPr>
              <w:pStyle w:val="ListParagraph"/>
              <w:spacing w:after="0" w:line="240" w:lineRule="auto"/>
              <w:ind w:left="0"/>
              <w:jc w:val="both"/>
              <w:rPr>
                <w:rFonts w:asciiTheme="minorHAnsi" w:hAnsiTheme="minorHAnsi" w:cstheme="minorHAnsi"/>
                <w:sz w:val="24"/>
                <w:szCs w:val="24"/>
              </w:rPr>
            </w:pPr>
          </w:p>
          <w:p w14:paraId="0DA7A498" w14:textId="77777777" w:rsidR="00A11B7C" w:rsidRPr="009222E7" w:rsidRDefault="00A11B7C" w:rsidP="00A11B7C">
            <w:pPr>
              <w:pStyle w:val="ListParagraph"/>
              <w:spacing w:after="0" w:line="240" w:lineRule="auto"/>
              <w:ind w:left="0"/>
              <w:jc w:val="both"/>
              <w:rPr>
                <w:rFonts w:asciiTheme="minorHAnsi" w:hAnsiTheme="minorHAnsi" w:cstheme="minorHAnsi"/>
                <w:sz w:val="24"/>
                <w:szCs w:val="24"/>
              </w:rPr>
            </w:pPr>
          </w:p>
          <w:p w14:paraId="736212E3" w14:textId="77777777" w:rsidR="00A11B7C" w:rsidRPr="009222E7" w:rsidRDefault="00A11B7C" w:rsidP="00A11B7C">
            <w:pPr>
              <w:pStyle w:val="ListParagraph"/>
              <w:spacing w:after="0" w:line="240" w:lineRule="auto"/>
              <w:ind w:left="0"/>
              <w:jc w:val="both"/>
              <w:rPr>
                <w:rFonts w:asciiTheme="minorHAnsi" w:hAnsiTheme="minorHAnsi" w:cstheme="minorHAnsi"/>
                <w:sz w:val="24"/>
                <w:szCs w:val="24"/>
              </w:rPr>
            </w:pPr>
            <w:r w:rsidRPr="009222E7">
              <w:rPr>
                <w:rFonts w:asciiTheme="minorHAnsi" w:hAnsiTheme="minorHAnsi" w:cstheme="minorHAnsi"/>
                <w:sz w:val="24"/>
                <w:szCs w:val="24"/>
              </w:rPr>
              <w:t xml:space="preserve"> </w:t>
            </w:r>
          </w:p>
        </w:tc>
      </w:tr>
      <w:tr w:rsidR="00A11B7C" w:rsidRPr="00A11B7C" w14:paraId="7EF4A4C6" w14:textId="77777777" w:rsidTr="009222E7">
        <w:trPr>
          <w:trHeight w:val="282"/>
        </w:trPr>
        <w:tc>
          <w:tcPr>
            <w:tcW w:w="2518" w:type="dxa"/>
            <w:vMerge/>
          </w:tcPr>
          <w:p w14:paraId="62E0AAA8" w14:textId="77777777" w:rsidR="00A11B7C" w:rsidRPr="009222E7" w:rsidRDefault="00A11B7C" w:rsidP="00A11B7C">
            <w:pPr>
              <w:spacing w:after="0" w:line="240" w:lineRule="auto"/>
              <w:rPr>
                <w:rFonts w:cstheme="minorHAnsi"/>
                <w:b/>
                <w:sz w:val="24"/>
                <w:szCs w:val="24"/>
              </w:rPr>
            </w:pPr>
          </w:p>
        </w:tc>
        <w:tc>
          <w:tcPr>
            <w:tcW w:w="8109" w:type="dxa"/>
          </w:tcPr>
          <w:p w14:paraId="5FFFE02C" w14:textId="77777777" w:rsidR="00A11B7C" w:rsidRPr="00150133" w:rsidRDefault="00A11B7C" w:rsidP="00150133">
            <w:pPr>
              <w:spacing w:after="0" w:line="240" w:lineRule="auto"/>
              <w:rPr>
                <w:rFonts w:cstheme="minorHAnsi"/>
                <w:sz w:val="24"/>
                <w:szCs w:val="24"/>
              </w:rPr>
            </w:pPr>
            <w:r w:rsidRPr="00150133">
              <w:rPr>
                <w:rFonts w:cstheme="minorHAnsi"/>
                <w:sz w:val="24"/>
                <w:szCs w:val="24"/>
              </w:rPr>
              <w:t>Data collection:</w:t>
            </w:r>
          </w:p>
          <w:p w14:paraId="7647DC76" w14:textId="77777777" w:rsidR="00A11B7C" w:rsidRPr="009222E7" w:rsidRDefault="00A11B7C" w:rsidP="00150133">
            <w:pPr>
              <w:pStyle w:val="ListParagraph"/>
              <w:numPr>
                <w:ilvl w:val="0"/>
                <w:numId w:val="4"/>
              </w:numPr>
              <w:spacing w:after="0" w:line="240" w:lineRule="auto"/>
              <w:ind w:left="357" w:hanging="357"/>
              <w:rPr>
                <w:rFonts w:asciiTheme="minorHAnsi" w:hAnsiTheme="minorHAnsi" w:cstheme="minorHAnsi"/>
                <w:sz w:val="24"/>
                <w:szCs w:val="24"/>
              </w:rPr>
            </w:pPr>
            <w:r w:rsidRPr="009222E7">
              <w:rPr>
                <w:rFonts w:asciiTheme="minorHAnsi" w:hAnsiTheme="minorHAnsi" w:cstheme="minorHAnsi"/>
                <w:sz w:val="24"/>
                <w:szCs w:val="24"/>
              </w:rPr>
              <w:t>Cancer Site Breakdown</w:t>
            </w:r>
          </w:p>
          <w:p w14:paraId="3DE18AF6" w14:textId="77777777" w:rsidR="00A11B7C" w:rsidRPr="009222E7" w:rsidRDefault="00A11B7C" w:rsidP="00150133">
            <w:pPr>
              <w:pStyle w:val="ListParagraph"/>
              <w:numPr>
                <w:ilvl w:val="0"/>
                <w:numId w:val="4"/>
              </w:numPr>
              <w:spacing w:after="0" w:line="240" w:lineRule="auto"/>
              <w:ind w:left="357" w:hanging="357"/>
              <w:rPr>
                <w:rFonts w:asciiTheme="minorHAnsi" w:hAnsiTheme="minorHAnsi" w:cstheme="minorHAnsi"/>
                <w:sz w:val="24"/>
                <w:szCs w:val="24"/>
              </w:rPr>
            </w:pPr>
            <w:r w:rsidRPr="009222E7">
              <w:rPr>
                <w:rFonts w:asciiTheme="minorHAnsi" w:hAnsiTheme="minorHAnsi" w:cstheme="minorHAnsi"/>
                <w:sz w:val="24"/>
                <w:szCs w:val="24"/>
              </w:rPr>
              <w:t>Stage</w:t>
            </w:r>
          </w:p>
          <w:p w14:paraId="109CCF05" w14:textId="77777777" w:rsidR="00A11B7C" w:rsidRPr="009222E7" w:rsidRDefault="00A11B7C" w:rsidP="00150133">
            <w:pPr>
              <w:pStyle w:val="ListParagraph"/>
              <w:numPr>
                <w:ilvl w:val="0"/>
                <w:numId w:val="4"/>
              </w:numPr>
              <w:spacing w:after="0" w:line="240" w:lineRule="auto"/>
              <w:ind w:left="357" w:hanging="357"/>
              <w:rPr>
                <w:rFonts w:asciiTheme="minorHAnsi" w:hAnsiTheme="minorHAnsi" w:cstheme="minorHAnsi"/>
                <w:sz w:val="24"/>
                <w:szCs w:val="24"/>
              </w:rPr>
            </w:pPr>
            <w:r w:rsidRPr="009222E7">
              <w:rPr>
                <w:rFonts w:asciiTheme="minorHAnsi" w:hAnsiTheme="minorHAnsi" w:cstheme="minorHAnsi"/>
                <w:sz w:val="24"/>
                <w:szCs w:val="24"/>
              </w:rPr>
              <w:t>Surgical treatment</w:t>
            </w:r>
          </w:p>
          <w:p w14:paraId="6ABEA983" w14:textId="718B8784" w:rsidR="00A11B7C" w:rsidRPr="009222E7" w:rsidRDefault="00C011E4" w:rsidP="00150133">
            <w:pPr>
              <w:pStyle w:val="ListParagraph"/>
              <w:numPr>
                <w:ilvl w:val="0"/>
                <w:numId w:val="4"/>
              </w:numPr>
              <w:spacing w:after="0" w:line="240" w:lineRule="auto"/>
              <w:ind w:left="357" w:hanging="357"/>
              <w:rPr>
                <w:rFonts w:asciiTheme="minorHAnsi" w:hAnsiTheme="minorHAnsi" w:cstheme="minorHAnsi"/>
                <w:sz w:val="24"/>
                <w:szCs w:val="24"/>
              </w:rPr>
            </w:pPr>
            <w:proofErr w:type="spellStart"/>
            <w:r>
              <w:rPr>
                <w:rFonts w:asciiTheme="minorHAnsi" w:hAnsiTheme="minorHAnsi" w:cstheme="minorHAnsi"/>
                <w:sz w:val="24"/>
                <w:szCs w:val="24"/>
              </w:rPr>
              <w:t>Peri</w:t>
            </w:r>
            <w:proofErr w:type="spellEnd"/>
            <w:r>
              <w:rPr>
                <w:rFonts w:asciiTheme="minorHAnsi" w:hAnsiTheme="minorHAnsi" w:cstheme="minorHAnsi"/>
                <w:sz w:val="24"/>
                <w:szCs w:val="24"/>
              </w:rPr>
              <w:t>-operative morbidity/</w:t>
            </w:r>
            <w:r w:rsidR="00C975D9" w:rsidRPr="009222E7">
              <w:rPr>
                <w:rFonts w:asciiTheme="minorHAnsi" w:hAnsiTheme="minorHAnsi" w:cstheme="minorHAnsi"/>
                <w:sz w:val="24"/>
                <w:szCs w:val="24"/>
              </w:rPr>
              <w:t>m</w:t>
            </w:r>
            <w:r w:rsidR="00A11B7C" w:rsidRPr="009222E7">
              <w:rPr>
                <w:rFonts w:asciiTheme="minorHAnsi" w:hAnsiTheme="minorHAnsi" w:cstheme="minorHAnsi"/>
                <w:sz w:val="24"/>
                <w:szCs w:val="24"/>
              </w:rPr>
              <w:t>ortality</w:t>
            </w:r>
          </w:p>
          <w:p w14:paraId="2F79F75C" w14:textId="6FFDEC77" w:rsidR="00A11B7C" w:rsidRPr="009222E7" w:rsidRDefault="00A11B7C" w:rsidP="00150133">
            <w:pPr>
              <w:pStyle w:val="ListParagraph"/>
              <w:numPr>
                <w:ilvl w:val="0"/>
                <w:numId w:val="4"/>
              </w:numPr>
              <w:spacing w:after="0" w:line="240" w:lineRule="auto"/>
              <w:ind w:left="357" w:hanging="357"/>
              <w:rPr>
                <w:rFonts w:asciiTheme="minorHAnsi" w:hAnsiTheme="minorHAnsi" w:cstheme="minorHAnsi"/>
                <w:sz w:val="24"/>
                <w:szCs w:val="24"/>
              </w:rPr>
            </w:pPr>
            <w:r w:rsidRPr="009222E7">
              <w:rPr>
                <w:rFonts w:asciiTheme="minorHAnsi" w:hAnsiTheme="minorHAnsi" w:cstheme="minorHAnsi"/>
                <w:sz w:val="24"/>
                <w:szCs w:val="24"/>
              </w:rPr>
              <w:t>Compliance with B</w:t>
            </w:r>
            <w:r w:rsidR="00150133">
              <w:rPr>
                <w:rFonts w:asciiTheme="minorHAnsi" w:hAnsiTheme="minorHAnsi" w:cstheme="minorHAnsi"/>
                <w:sz w:val="24"/>
                <w:szCs w:val="24"/>
              </w:rPr>
              <w:t>ritish Gynaecological Cancer Society (BGCS)</w:t>
            </w:r>
            <w:r w:rsidRPr="009222E7">
              <w:rPr>
                <w:rFonts w:asciiTheme="minorHAnsi" w:hAnsiTheme="minorHAnsi" w:cstheme="minorHAnsi"/>
                <w:sz w:val="24"/>
                <w:szCs w:val="24"/>
              </w:rPr>
              <w:t xml:space="preserve">/Scottish </w:t>
            </w:r>
            <w:r w:rsidR="00150133">
              <w:rPr>
                <w:rFonts w:asciiTheme="minorHAnsi" w:hAnsiTheme="minorHAnsi" w:cstheme="minorHAnsi"/>
                <w:sz w:val="24"/>
                <w:szCs w:val="24"/>
              </w:rPr>
              <w:t>quality performance indicators</w:t>
            </w:r>
            <w:r w:rsidR="003412D2" w:rsidRPr="00150133">
              <w:rPr>
                <w:rFonts w:asciiTheme="minorHAnsi" w:hAnsiTheme="minorHAnsi" w:cstheme="minorHAnsi"/>
                <w:sz w:val="24"/>
                <w:szCs w:val="24"/>
                <w:vertAlign w:val="superscript"/>
              </w:rPr>
              <w:t>4</w:t>
            </w:r>
          </w:p>
          <w:p w14:paraId="7513460E" w14:textId="65AF8E85" w:rsidR="00A11B7C" w:rsidRPr="00150133" w:rsidRDefault="00A11B7C" w:rsidP="004E3E68">
            <w:pPr>
              <w:pStyle w:val="ListParagraph"/>
              <w:numPr>
                <w:ilvl w:val="0"/>
                <w:numId w:val="4"/>
              </w:numPr>
              <w:spacing w:after="0" w:line="240" w:lineRule="auto"/>
              <w:ind w:left="357" w:hanging="357"/>
              <w:rPr>
                <w:rFonts w:asciiTheme="minorHAnsi" w:hAnsiTheme="minorHAnsi" w:cstheme="minorHAnsi"/>
                <w:sz w:val="24"/>
                <w:szCs w:val="24"/>
              </w:rPr>
            </w:pPr>
            <w:r w:rsidRPr="00150133">
              <w:rPr>
                <w:rFonts w:asciiTheme="minorHAnsi" w:hAnsiTheme="minorHAnsi" w:cstheme="minorHAnsi"/>
                <w:sz w:val="24"/>
                <w:szCs w:val="24"/>
              </w:rPr>
              <w:t xml:space="preserve">Access to </w:t>
            </w:r>
            <w:r w:rsidR="00150133" w:rsidRPr="00150133">
              <w:rPr>
                <w:rFonts w:asciiTheme="minorHAnsi" w:hAnsiTheme="minorHAnsi" w:cstheme="minorHAnsi"/>
                <w:sz w:val="24"/>
                <w:szCs w:val="24"/>
              </w:rPr>
              <w:t>National Emergency Laparotomy Audit (</w:t>
            </w:r>
            <w:r w:rsidRPr="00150133">
              <w:rPr>
                <w:rFonts w:asciiTheme="minorHAnsi" w:hAnsiTheme="minorHAnsi" w:cstheme="minorHAnsi"/>
                <w:sz w:val="24"/>
                <w:szCs w:val="24"/>
              </w:rPr>
              <w:t>NELA</w:t>
            </w:r>
            <w:r w:rsidR="00150133" w:rsidRPr="00150133">
              <w:rPr>
                <w:rFonts w:asciiTheme="minorHAnsi" w:hAnsiTheme="minorHAnsi" w:cstheme="minorHAnsi"/>
                <w:sz w:val="24"/>
                <w:szCs w:val="24"/>
              </w:rPr>
              <w:t>)</w:t>
            </w:r>
            <w:r w:rsidRPr="00150133">
              <w:rPr>
                <w:rFonts w:asciiTheme="minorHAnsi" w:hAnsiTheme="minorHAnsi" w:cstheme="minorHAnsi"/>
                <w:sz w:val="24"/>
                <w:szCs w:val="24"/>
              </w:rPr>
              <w:t>/</w:t>
            </w:r>
            <w:r w:rsidR="00150133" w:rsidRPr="00150133">
              <w:rPr>
                <w:rFonts w:asciiTheme="minorHAnsi" w:hAnsiTheme="minorHAnsi" w:cstheme="minorHAnsi"/>
                <w:sz w:val="24"/>
                <w:szCs w:val="24"/>
              </w:rPr>
              <w:t>Emergency Laparotomy and Laparoscopic Scottish Audit (ELLSA)</w:t>
            </w:r>
            <w:r w:rsidRPr="00150133">
              <w:rPr>
                <w:rFonts w:asciiTheme="minorHAnsi" w:hAnsiTheme="minorHAnsi" w:cstheme="minorHAnsi"/>
                <w:sz w:val="24"/>
                <w:szCs w:val="24"/>
              </w:rPr>
              <w:t xml:space="preserve"> database</w:t>
            </w:r>
          </w:p>
          <w:p w14:paraId="7F738BC8" w14:textId="77777777" w:rsidR="00A11B7C" w:rsidRPr="009222E7" w:rsidRDefault="00A11B7C" w:rsidP="00150133">
            <w:pPr>
              <w:pStyle w:val="ListParagraph"/>
              <w:numPr>
                <w:ilvl w:val="0"/>
                <w:numId w:val="4"/>
              </w:numPr>
              <w:spacing w:after="0" w:line="240" w:lineRule="auto"/>
              <w:ind w:left="357" w:hanging="357"/>
              <w:rPr>
                <w:rFonts w:asciiTheme="minorHAnsi" w:hAnsiTheme="minorHAnsi" w:cstheme="minorHAnsi"/>
                <w:sz w:val="24"/>
                <w:szCs w:val="24"/>
              </w:rPr>
            </w:pPr>
            <w:r w:rsidRPr="009222E7">
              <w:rPr>
                <w:rFonts w:asciiTheme="minorHAnsi" w:hAnsiTheme="minorHAnsi" w:cstheme="minorHAnsi"/>
                <w:sz w:val="24"/>
                <w:szCs w:val="24"/>
              </w:rPr>
              <w:t xml:space="preserve">Agreed clinical governance processes, joint audit / </w:t>
            </w:r>
            <w:r w:rsidR="00C975D9" w:rsidRPr="009222E7">
              <w:rPr>
                <w:rFonts w:asciiTheme="minorHAnsi" w:hAnsiTheme="minorHAnsi" w:cstheme="minorHAnsi"/>
                <w:sz w:val="24"/>
                <w:szCs w:val="24"/>
              </w:rPr>
              <w:t>morbidit</w:t>
            </w:r>
            <w:bookmarkStart w:id="0" w:name="_GoBack"/>
            <w:bookmarkEnd w:id="0"/>
            <w:r w:rsidR="00C975D9" w:rsidRPr="009222E7">
              <w:rPr>
                <w:rFonts w:asciiTheme="minorHAnsi" w:hAnsiTheme="minorHAnsi" w:cstheme="minorHAnsi"/>
                <w:sz w:val="24"/>
                <w:szCs w:val="24"/>
              </w:rPr>
              <w:t>y and mortality</w:t>
            </w:r>
            <w:r w:rsidRPr="009222E7">
              <w:rPr>
                <w:rFonts w:asciiTheme="minorHAnsi" w:hAnsiTheme="minorHAnsi" w:cstheme="minorHAnsi"/>
                <w:sz w:val="24"/>
                <w:szCs w:val="24"/>
              </w:rPr>
              <w:t>, for patients undergoing colorectal surgery for ovarian cancer</w:t>
            </w:r>
          </w:p>
        </w:tc>
        <w:tc>
          <w:tcPr>
            <w:tcW w:w="1559" w:type="dxa"/>
          </w:tcPr>
          <w:p w14:paraId="0EC66BE0" w14:textId="77777777" w:rsidR="00A11B7C" w:rsidRPr="009222E7" w:rsidRDefault="00A11B7C" w:rsidP="00150133">
            <w:pPr>
              <w:pStyle w:val="ListParagraph"/>
              <w:spacing w:after="0" w:line="240" w:lineRule="auto"/>
              <w:ind w:left="0"/>
              <w:rPr>
                <w:rFonts w:asciiTheme="minorHAnsi" w:hAnsiTheme="minorHAnsi" w:cstheme="minorHAnsi"/>
                <w:sz w:val="24"/>
                <w:szCs w:val="24"/>
              </w:rPr>
            </w:pPr>
          </w:p>
          <w:p w14:paraId="6D25195C" w14:textId="57E04D32"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434AC5F9" w14:textId="52FE6EAD"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2699BC7F" w14:textId="05E8C8D4"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72E12236" w14:textId="4E6D28A8"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41EA55CC" w14:textId="4CBDA559"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3DA4B929" w14:textId="77777777" w:rsidR="00150133" w:rsidRDefault="00150133" w:rsidP="00150133">
            <w:pPr>
              <w:pStyle w:val="ListParagraph"/>
              <w:spacing w:after="0" w:line="240" w:lineRule="auto"/>
              <w:ind w:left="0"/>
              <w:rPr>
                <w:rFonts w:asciiTheme="minorHAnsi" w:hAnsiTheme="minorHAnsi" w:cstheme="minorHAnsi"/>
                <w:sz w:val="24"/>
                <w:szCs w:val="24"/>
              </w:rPr>
            </w:pPr>
          </w:p>
          <w:p w14:paraId="55EA4767" w14:textId="1AFB8186"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4E513216" w14:textId="77777777" w:rsidR="00150133" w:rsidRDefault="00150133" w:rsidP="00150133">
            <w:pPr>
              <w:pStyle w:val="ListParagraph"/>
              <w:spacing w:after="0" w:line="240" w:lineRule="auto"/>
              <w:ind w:left="0"/>
              <w:rPr>
                <w:rFonts w:asciiTheme="minorHAnsi" w:hAnsiTheme="minorHAnsi" w:cstheme="minorHAnsi"/>
                <w:sz w:val="24"/>
                <w:szCs w:val="24"/>
              </w:rPr>
            </w:pPr>
          </w:p>
          <w:p w14:paraId="17C22186" w14:textId="73603EAC"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tc>
        <w:tc>
          <w:tcPr>
            <w:tcW w:w="1843" w:type="dxa"/>
          </w:tcPr>
          <w:p w14:paraId="0D8CC2C3" w14:textId="77777777" w:rsidR="00A11B7C" w:rsidRPr="009222E7" w:rsidRDefault="00A11B7C" w:rsidP="00A11B7C">
            <w:pPr>
              <w:pStyle w:val="ListParagraph"/>
              <w:spacing w:after="0" w:line="240" w:lineRule="auto"/>
              <w:ind w:left="0"/>
              <w:jc w:val="both"/>
              <w:rPr>
                <w:rFonts w:asciiTheme="minorHAnsi" w:hAnsiTheme="minorHAnsi" w:cstheme="minorHAnsi"/>
                <w:sz w:val="24"/>
                <w:szCs w:val="24"/>
              </w:rPr>
            </w:pPr>
          </w:p>
          <w:p w14:paraId="6C186557" w14:textId="77777777" w:rsidR="00A11B7C" w:rsidRPr="009222E7" w:rsidRDefault="00A11B7C" w:rsidP="00A11B7C">
            <w:pPr>
              <w:pStyle w:val="ListParagraph"/>
              <w:spacing w:after="0" w:line="240" w:lineRule="auto"/>
              <w:ind w:left="0"/>
              <w:jc w:val="both"/>
              <w:rPr>
                <w:rFonts w:asciiTheme="minorHAnsi" w:hAnsiTheme="minorHAnsi" w:cstheme="minorHAnsi"/>
                <w:sz w:val="24"/>
                <w:szCs w:val="24"/>
              </w:rPr>
            </w:pPr>
          </w:p>
        </w:tc>
      </w:tr>
      <w:tr w:rsidR="00A11B7C" w:rsidRPr="00A11B7C" w14:paraId="39928279" w14:textId="77777777" w:rsidTr="009222E7">
        <w:trPr>
          <w:trHeight w:val="282"/>
        </w:trPr>
        <w:tc>
          <w:tcPr>
            <w:tcW w:w="2518" w:type="dxa"/>
            <w:vMerge/>
          </w:tcPr>
          <w:p w14:paraId="0A624EF9" w14:textId="77777777" w:rsidR="00A11B7C" w:rsidRPr="009222E7" w:rsidRDefault="00A11B7C" w:rsidP="00A11B7C">
            <w:pPr>
              <w:pStyle w:val="ListParagraph"/>
              <w:spacing w:after="0" w:line="240" w:lineRule="auto"/>
              <w:ind w:left="0"/>
              <w:rPr>
                <w:rFonts w:asciiTheme="minorHAnsi" w:hAnsiTheme="minorHAnsi" w:cstheme="minorHAnsi"/>
                <w:b/>
                <w:sz w:val="24"/>
                <w:szCs w:val="24"/>
              </w:rPr>
            </w:pPr>
          </w:p>
        </w:tc>
        <w:tc>
          <w:tcPr>
            <w:tcW w:w="8109" w:type="dxa"/>
          </w:tcPr>
          <w:p w14:paraId="787C507D" w14:textId="77777777" w:rsidR="00A11B7C" w:rsidRPr="009222E7" w:rsidRDefault="00A11B7C" w:rsidP="00A11B7C">
            <w:pPr>
              <w:spacing w:after="0" w:line="240" w:lineRule="auto"/>
              <w:rPr>
                <w:rFonts w:cstheme="minorHAnsi"/>
                <w:sz w:val="24"/>
                <w:szCs w:val="24"/>
              </w:rPr>
            </w:pPr>
            <w:r w:rsidRPr="009222E7">
              <w:rPr>
                <w:rFonts w:cstheme="minorHAnsi"/>
                <w:sz w:val="24"/>
                <w:szCs w:val="24"/>
              </w:rPr>
              <w:t>On-call arrangements:</w:t>
            </w:r>
          </w:p>
          <w:p w14:paraId="3B857E4E" w14:textId="0B5676F5" w:rsidR="00A11B7C" w:rsidRPr="003D5B4B" w:rsidRDefault="00216F85" w:rsidP="003D5B4B">
            <w:pPr>
              <w:pStyle w:val="ListParagraph"/>
              <w:numPr>
                <w:ilvl w:val="0"/>
                <w:numId w:val="10"/>
              </w:numPr>
              <w:spacing w:after="0" w:line="240" w:lineRule="auto"/>
              <w:rPr>
                <w:rFonts w:cstheme="minorHAnsi"/>
                <w:sz w:val="24"/>
                <w:szCs w:val="24"/>
              </w:rPr>
            </w:pPr>
            <w:r w:rsidRPr="003D5B4B">
              <w:rPr>
                <w:rFonts w:cstheme="minorHAnsi"/>
                <w:sz w:val="24"/>
                <w:szCs w:val="24"/>
              </w:rPr>
              <w:t>No s</w:t>
            </w:r>
            <w:r w:rsidR="00A11B7C" w:rsidRPr="003D5B4B">
              <w:rPr>
                <w:rFonts w:cstheme="minorHAnsi"/>
                <w:sz w:val="24"/>
                <w:szCs w:val="24"/>
              </w:rPr>
              <w:t>cheduled daytime on call interfering with elective Gynaecological Oncology activities</w:t>
            </w:r>
            <w:r w:rsidR="00C011E4">
              <w:rPr>
                <w:rFonts w:cstheme="minorHAnsi"/>
                <w:sz w:val="24"/>
                <w:szCs w:val="24"/>
              </w:rPr>
              <w:t>.</w:t>
            </w:r>
          </w:p>
        </w:tc>
        <w:tc>
          <w:tcPr>
            <w:tcW w:w="1559" w:type="dxa"/>
          </w:tcPr>
          <w:p w14:paraId="0B4B3BB9" w14:textId="77777777" w:rsidR="00A11B7C" w:rsidRPr="009222E7" w:rsidRDefault="00A11B7C" w:rsidP="00150133">
            <w:pPr>
              <w:pStyle w:val="ListParagraph"/>
              <w:spacing w:after="0" w:line="240" w:lineRule="auto"/>
              <w:ind w:left="0"/>
              <w:rPr>
                <w:rFonts w:asciiTheme="minorHAnsi" w:hAnsiTheme="minorHAnsi" w:cstheme="minorHAnsi"/>
                <w:sz w:val="24"/>
                <w:szCs w:val="24"/>
              </w:rPr>
            </w:pPr>
          </w:p>
          <w:p w14:paraId="603EE353" w14:textId="00BA3ACA" w:rsidR="00A11B7C" w:rsidRPr="009222E7" w:rsidRDefault="00A11B7C" w:rsidP="00150133">
            <w:pPr>
              <w:pStyle w:val="ListParagraph"/>
              <w:spacing w:after="0" w:line="240" w:lineRule="auto"/>
              <w:ind w:left="0"/>
              <w:rPr>
                <w:rFonts w:asciiTheme="minorHAnsi" w:hAnsiTheme="minorHAnsi" w:cstheme="minorHAnsi"/>
                <w:sz w:val="24"/>
                <w:szCs w:val="24"/>
              </w:rPr>
            </w:pPr>
            <w:r w:rsidRPr="009222E7">
              <w:rPr>
                <w:rFonts w:asciiTheme="minorHAnsi" w:hAnsiTheme="minorHAnsi" w:cstheme="minorHAnsi"/>
                <w:sz w:val="24"/>
                <w:szCs w:val="24"/>
              </w:rPr>
              <w:t xml:space="preserve">Yes / </w:t>
            </w:r>
            <w:r w:rsidR="007E407A">
              <w:rPr>
                <w:rFonts w:asciiTheme="minorHAnsi" w:hAnsiTheme="minorHAnsi" w:cstheme="minorHAnsi"/>
                <w:sz w:val="24"/>
                <w:szCs w:val="24"/>
              </w:rPr>
              <w:t>N</w:t>
            </w:r>
            <w:r w:rsidRPr="009222E7">
              <w:rPr>
                <w:rFonts w:asciiTheme="minorHAnsi" w:hAnsiTheme="minorHAnsi" w:cstheme="minorHAnsi"/>
                <w:sz w:val="24"/>
                <w:szCs w:val="24"/>
              </w:rPr>
              <w:t>o</w:t>
            </w:r>
          </w:p>
          <w:p w14:paraId="11FE6D20" w14:textId="71CA1722" w:rsidR="00A11B7C" w:rsidRPr="009222E7" w:rsidRDefault="00A11B7C" w:rsidP="00150133">
            <w:pPr>
              <w:pStyle w:val="ListParagraph"/>
              <w:spacing w:after="0" w:line="240" w:lineRule="auto"/>
              <w:ind w:left="0"/>
              <w:rPr>
                <w:rFonts w:asciiTheme="minorHAnsi" w:hAnsiTheme="minorHAnsi" w:cstheme="minorHAnsi"/>
                <w:sz w:val="24"/>
                <w:szCs w:val="24"/>
              </w:rPr>
            </w:pPr>
          </w:p>
        </w:tc>
        <w:tc>
          <w:tcPr>
            <w:tcW w:w="1843" w:type="dxa"/>
          </w:tcPr>
          <w:p w14:paraId="68AD32B3" w14:textId="77777777" w:rsidR="00A11B7C" w:rsidRPr="009222E7" w:rsidRDefault="00A11B7C" w:rsidP="00A11B7C">
            <w:pPr>
              <w:pStyle w:val="ListParagraph"/>
              <w:spacing w:after="0" w:line="240" w:lineRule="auto"/>
              <w:ind w:left="0"/>
              <w:jc w:val="both"/>
              <w:rPr>
                <w:rFonts w:asciiTheme="minorHAnsi" w:hAnsiTheme="minorHAnsi" w:cstheme="minorHAnsi"/>
                <w:sz w:val="24"/>
                <w:szCs w:val="24"/>
              </w:rPr>
            </w:pPr>
          </w:p>
          <w:p w14:paraId="577EE135" w14:textId="77777777" w:rsidR="00A11B7C" w:rsidRPr="009222E7" w:rsidRDefault="00A11B7C" w:rsidP="00A11B7C">
            <w:pPr>
              <w:pStyle w:val="ListParagraph"/>
              <w:spacing w:after="0" w:line="240" w:lineRule="auto"/>
              <w:ind w:left="0"/>
              <w:jc w:val="both"/>
              <w:rPr>
                <w:rFonts w:asciiTheme="minorHAnsi" w:hAnsiTheme="minorHAnsi" w:cstheme="minorHAnsi"/>
                <w:sz w:val="24"/>
                <w:szCs w:val="24"/>
              </w:rPr>
            </w:pPr>
          </w:p>
        </w:tc>
      </w:tr>
    </w:tbl>
    <w:p w14:paraId="44A43C17" w14:textId="77777777" w:rsidR="00C975D9" w:rsidRDefault="00C975D9" w:rsidP="00A11B7C">
      <w:pPr>
        <w:spacing w:after="0" w:line="240" w:lineRule="auto"/>
      </w:pPr>
    </w:p>
    <w:p w14:paraId="6BA219EA" w14:textId="0707E1CD" w:rsidR="003412D2" w:rsidRPr="00B6515F" w:rsidRDefault="003412D2" w:rsidP="00B6515F">
      <w:pPr>
        <w:rPr>
          <w:rFonts w:cstheme="minorHAnsi"/>
          <w:iCs/>
          <w:sz w:val="24"/>
        </w:rPr>
      </w:pPr>
      <w:r w:rsidRPr="00B6515F">
        <w:rPr>
          <w:sz w:val="24"/>
          <w:vertAlign w:val="superscript"/>
        </w:rPr>
        <w:t xml:space="preserve">1 </w:t>
      </w:r>
      <w:r w:rsidRPr="00B6515F">
        <w:rPr>
          <w:sz w:val="24"/>
        </w:rPr>
        <w:t>D</w:t>
      </w:r>
      <w:r w:rsidRPr="00B6515F">
        <w:rPr>
          <w:rFonts w:cstheme="minorHAnsi"/>
          <w:iCs/>
          <w:sz w:val="24"/>
        </w:rPr>
        <w:t>ata should be for a 12</w:t>
      </w:r>
      <w:r w:rsidR="00C011E4">
        <w:rPr>
          <w:rFonts w:cstheme="minorHAnsi"/>
          <w:iCs/>
          <w:sz w:val="24"/>
        </w:rPr>
        <w:t xml:space="preserve"> month period in the preceding two</w:t>
      </w:r>
      <w:r w:rsidRPr="00B6515F">
        <w:rPr>
          <w:rFonts w:cstheme="minorHAnsi"/>
          <w:iCs/>
          <w:sz w:val="24"/>
        </w:rPr>
        <w:t xml:space="preserve"> years.</w:t>
      </w:r>
    </w:p>
    <w:p w14:paraId="44C924DD" w14:textId="120EEFF0" w:rsidR="003412D2" w:rsidRPr="00B6515F" w:rsidRDefault="003412D2" w:rsidP="00B6515F">
      <w:pPr>
        <w:pStyle w:val="ListParagraph"/>
        <w:spacing w:after="160" w:line="259" w:lineRule="auto"/>
        <w:ind w:left="0"/>
        <w:rPr>
          <w:sz w:val="24"/>
        </w:rPr>
      </w:pPr>
      <w:r w:rsidRPr="00B6515F">
        <w:rPr>
          <w:rFonts w:asciiTheme="minorHAnsi" w:hAnsiTheme="minorHAnsi" w:cstheme="minorHAnsi"/>
          <w:iCs/>
          <w:sz w:val="24"/>
          <w:vertAlign w:val="superscript"/>
        </w:rPr>
        <w:t xml:space="preserve">2 </w:t>
      </w:r>
      <w:r w:rsidRPr="00B6515F">
        <w:rPr>
          <w:rFonts w:asciiTheme="minorHAnsi" w:hAnsiTheme="minorHAnsi" w:cstheme="minorHAnsi"/>
          <w:iCs/>
          <w:sz w:val="24"/>
        </w:rPr>
        <w:t xml:space="preserve">If applying for </w:t>
      </w:r>
      <w:r w:rsidR="00C011E4">
        <w:rPr>
          <w:rFonts w:asciiTheme="minorHAnsi" w:hAnsiTheme="minorHAnsi" w:cstheme="minorHAnsi"/>
          <w:iCs/>
          <w:sz w:val="24"/>
        </w:rPr>
        <w:t>two</w:t>
      </w:r>
      <w:r w:rsidRPr="00B6515F">
        <w:rPr>
          <w:rFonts w:asciiTheme="minorHAnsi" w:hAnsiTheme="minorHAnsi" w:cstheme="minorHAnsi"/>
          <w:iCs/>
          <w:sz w:val="24"/>
        </w:rPr>
        <w:t xml:space="preserve"> trainees, procedure numbers should be at least minimum for </w:t>
      </w:r>
      <w:r w:rsidR="00C011E4">
        <w:rPr>
          <w:rFonts w:asciiTheme="minorHAnsi" w:hAnsiTheme="minorHAnsi" w:cstheme="minorHAnsi"/>
          <w:iCs/>
          <w:sz w:val="24"/>
        </w:rPr>
        <w:t>one trainee and</w:t>
      </w:r>
      <w:r w:rsidRPr="00B6515F">
        <w:rPr>
          <w:rFonts w:asciiTheme="minorHAnsi" w:hAnsiTheme="minorHAnsi" w:cstheme="minorHAnsi"/>
          <w:iCs/>
          <w:sz w:val="24"/>
        </w:rPr>
        <w:t xml:space="preserve"> an additional 60% of caseload. If applying for </w:t>
      </w:r>
      <w:r w:rsidR="00C011E4">
        <w:rPr>
          <w:rFonts w:asciiTheme="minorHAnsi" w:hAnsiTheme="minorHAnsi" w:cstheme="minorHAnsi"/>
          <w:iCs/>
          <w:sz w:val="24"/>
        </w:rPr>
        <w:t>two</w:t>
      </w:r>
      <w:r w:rsidRPr="00B6515F">
        <w:rPr>
          <w:rFonts w:asciiTheme="minorHAnsi" w:hAnsiTheme="minorHAnsi" w:cstheme="minorHAnsi"/>
          <w:iCs/>
          <w:sz w:val="24"/>
        </w:rPr>
        <w:t xml:space="preserve"> trainees across </w:t>
      </w:r>
      <w:r w:rsidR="00C011E4">
        <w:rPr>
          <w:rFonts w:asciiTheme="minorHAnsi" w:hAnsiTheme="minorHAnsi" w:cstheme="minorHAnsi"/>
          <w:iCs/>
          <w:sz w:val="24"/>
        </w:rPr>
        <w:t>two</w:t>
      </w:r>
      <w:r w:rsidRPr="00B6515F">
        <w:rPr>
          <w:rFonts w:asciiTheme="minorHAnsi" w:hAnsiTheme="minorHAnsi" w:cstheme="minorHAnsi"/>
          <w:iCs/>
          <w:sz w:val="24"/>
        </w:rPr>
        <w:t xml:space="preserve"> centres, each centre req</w:t>
      </w:r>
      <w:r w:rsidR="00C011E4">
        <w:rPr>
          <w:rFonts w:asciiTheme="minorHAnsi" w:hAnsiTheme="minorHAnsi" w:cstheme="minorHAnsi"/>
          <w:iCs/>
          <w:sz w:val="24"/>
        </w:rPr>
        <w:t>uires at least the minimum for one</w:t>
      </w:r>
      <w:r w:rsidRPr="00B6515F">
        <w:rPr>
          <w:rFonts w:asciiTheme="minorHAnsi" w:hAnsiTheme="minorHAnsi" w:cstheme="minorHAnsi"/>
          <w:iCs/>
          <w:sz w:val="24"/>
        </w:rPr>
        <w:t xml:space="preserve"> trainee.</w:t>
      </w:r>
    </w:p>
    <w:p w14:paraId="7397F9B0" w14:textId="77777777" w:rsidR="003412D2" w:rsidRPr="00B6515F" w:rsidRDefault="003412D2" w:rsidP="00B6515F">
      <w:pPr>
        <w:rPr>
          <w:sz w:val="24"/>
        </w:rPr>
      </w:pPr>
      <w:r w:rsidRPr="00B6515F">
        <w:rPr>
          <w:sz w:val="24"/>
          <w:vertAlign w:val="superscript"/>
        </w:rPr>
        <w:t>3</w:t>
      </w:r>
      <w:r w:rsidR="00A11B7C" w:rsidRPr="00B6515F">
        <w:rPr>
          <w:sz w:val="24"/>
          <w:vertAlign w:val="superscript"/>
        </w:rPr>
        <w:t xml:space="preserve"> </w:t>
      </w:r>
      <w:hyperlink r:id="rId8" w:history="1">
        <w:r w:rsidR="00A11B7C" w:rsidRPr="00B6515F">
          <w:rPr>
            <w:rStyle w:val="Hyperlink"/>
            <w:color w:val="0000FF"/>
            <w:sz w:val="24"/>
          </w:rPr>
          <w:t>https://www.bgcs.org.uk/wp-content/uploads/2021/12/Joint-statement-Version-1.9_NJW_final.pdf</w:t>
        </w:r>
      </w:hyperlink>
      <w:r w:rsidR="00A11B7C" w:rsidRPr="00B6515F">
        <w:rPr>
          <w:sz w:val="24"/>
        </w:rPr>
        <w:t xml:space="preserve"> </w:t>
      </w:r>
    </w:p>
    <w:p w14:paraId="2852D91D" w14:textId="77777777" w:rsidR="00A11B7C" w:rsidRPr="00B6515F" w:rsidRDefault="003412D2" w:rsidP="00B6515F">
      <w:pPr>
        <w:rPr>
          <w:sz w:val="24"/>
        </w:rPr>
      </w:pPr>
      <w:r w:rsidRPr="00B6515F">
        <w:rPr>
          <w:sz w:val="24"/>
          <w:vertAlign w:val="superscript"/>
        </w:rPr>
        <w:t>4</w:t>
      </w:r>
      <w:r w:rsidR="00A11B7C" w:rsidRPr="00B6515F">
        <w:rPr>
          <w:sz w:val="24"/>
          <w:vertAlign w:val="superscript"/>
        </w:rPr>
        <w:t xml:space="preserve"> </w:t>
      </w:r>
      <w:hyperlink r:id="rId9" w:history="1">
        <w:r w:rsidR="00A11B7C" w:rsidRPr="00B6515F">
          <w:rPr>
            <w:rStyle w:val="Hyperlink"/>
            <w:color w:val="0000FF"/>
            <w:sz w:val="24"/>
          </w:rPr>
          <w:t>https://www.bgcs.org.uk/wp-content/uploads/2021/05/OCAFP_BGCS-Call-to-action-21-05-2021-ref-14.00.pdf</w:t>
        </w:r>
      </w:hyperlink>
      <w:r w:rsidR="00A11B7C" w:rsidRPr="00B6515F">
        <w:rPr>
          <w:sz w:val="24"/>
        </w:rPr>
        <w:t xml:space="preserve"> </w:t>
      </w:r>
    </w:p>
    <w:p w14:paraId="7BAAA372" w14:textId="77777777" w:rsidR="00F71F76" w:rsidRDefault="00F71F76" w:rsidP="00B6515F"/>
    <w:p w14:paraId="61C8200C" w14:textId="7129B95F" w:rsidR="009A276A" w:rsidRPr="009C0087" w:rsidRDefault="00F71F76" w:rsidP="009617B8">
      <w:r>
        <w:t xml:space="preserve">Version 1.0 approved by the Subspecialty Committee </w:t>
      </w:r>
      <w:r w:rsidR="00607409">
        <w:t>-</w:t>
      </w:r>
      <w:r>
        <w:t xml:space="preserve"> May 2024</w:t>
      </w:r>
    </w:p>
    <w:sectPr w:rsidR="009A276A" w:rsidRPr="009C0087" w:rsidSect="00A11B7C">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8C35A" w14:textId="77777777" w:rsidR="0023686F" w:rsidRDefault="0023686F" w:rsidP="0023686F">
      <w:pPr>
        <w:spacing w:after="0" w:line="240" w:lineRule="auto"/>
      </w:pPr>
      <w:r>
        <w:separator/>
      </w:r>
    </w:p>
  </w:endnote>
  <w:endnote w:type="continuationSeparator" w:id="0">
    <w:p w14:paraId="6DEF4FED" w14:textId="77777777" w:rsidR="0023686F" w:rsidRDefault="0023686F"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23F39" w14:textId="38A02589" w:rsidR="0023686F" w:rsidRDefault="0023686F" w:rsidP="00F71F76">
    <w:pPr>
      <w:pStyle w:val="Footer"/>
      <w:tabs>
        <w:tab w:val="clear" w:pos="4513"/>
        <w:tab w:val="clear" w:pos="9026"/>
        <w:tab w:val="center" w:pos="6979"/>
      </w:tabs>
    </w:pPr>
    <w:r>
      <w:rPr>
        <w:noProof/>
        <w:lang w:eastAsia="en-GB"/>
      </w:rPr>
      <w:drawing>
        <wp:anchor distT="0" distB="0" distL="114300" distR="114300" simplePos="0" relativeHeight="251664384" behindDoc="1" locked="0" layoutInCell="1" allowOverlap="1" wp14:anchorId="44146279" wp14:editId="5D129E30">
          <wp:simplePos x="0" y="0"/>
          <wp:positionH relativeFrom="margin">
            <wp:align>center</wp:align>
          </wp:positionH>
          <wp:positionV relativeFrom="paragraph">
            <wp:posOffset>-169545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r w:rsidR="00F71F7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263A5" w14:textId="77777777" w:rsidR="0023686F" w:rsidRDefault="0023686F" w:rsidP="0023686F">
      <w:pPr>
        <w:spacing w:after="0" w:line="240" w:lineRule="auto"/>
      </w:pPr>
      <w:r>
        <w:separator/>
      </w:r>
    </w:p>
  </w:footnote>
  <w:footnote w:type="continuationSeparator" w:id="0">
    <w:p w14:paraId="5016E0F2" w14:textId="77777777" w:rsidR="0023686F" w:rsidRDefault="0023686F"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C4A9" w14:textId="77777777" w:rsidR="0023686F" w:rsidRDefault="0023686F">
    <w:pPr>
      <w:pStyle w:val="Header"/>
    </w:pPr>
    <w:r>
      <w:rPr>
        <w:noProof/>
        <w:lang w:eastAsia="en-GB"/>
      </w:rPr>
      <w:drawing>
        <wp:anchor distT="0" distB="0" distL="114300" distR="114300" simplePos="0" relativeHeight="251662336" behindDoc="0" locked="0" layoutInCell="1" allowOverlap="1" wp14:anchorId="276CD82E" wp14:editId="15AE241F">
          <wp:simplePos x="0" y="0"/>
          <wp:positionH relativeFrom="margin">
            <wp:posOffset>7709535</wp:posOffset>
          </wp:positionH>
          <wp:positionV relativeFrom="paragraph">
            <wp:posOffset>-223520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54AC70B5" wp14:editId="766CB97A">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51E"/>
    <w:multiLevelType w:val="hybridMultilevel"/>
    <w:tmpl w:val="BB4E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11488"/>
    <w:multiLevelType w:val="hybridMultilevel"/>
    <w:tmpl w:val="9C8893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F85EBC"/>
    <w:multiLevelType w:val="hybridMultilevel"/>
    <w:tmpl w:val="72D010B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BB2682"/>
    <w:multiLevelType w:val="hybridMultilevel"/>
    <w:tmpl w:val="E85C92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8F3C53"/>
    <w:multiLevelType w:val="hybridMultilevel"/>
    <w:tmpl w:val="D43E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255A2"/>
    <w:multiLevelType w:val="hybridMultilevel"/>
    <w:tmpl w:val="DD86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74B18"/>
    <w:multiLevelType w:val="hybridMultilevel"/>
    <w:tmpl w:val="1F5A2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421526"/>
    <w:multiLevelType w:val="hybridMultilevel"/>
    <w:tmpl w:val="D76CD8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CE53E0"/>
    <w:multiLevelType w:val="hybridMultilevel"/>
    <w:tmpl w:val="EB98C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970DE6"/>
    <w:multiLevelType w:val="hybridMultilevel"/>
    <w:tmpl w:val="ACF0190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6"/>
  </w:num>
  <w:num w:numId="5">
    <w:abstractNumId w:val="0"/>
  </w:num>
  <w:num w:numId="6">
    <w:abstractNumId w:val="3"/>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E51D5"/>
    <w:rsid w:val="00150133"/>
    <w:rsid w:val="00216F85"/>
    <w:rsid w:val="0023686F"/>
    <w:rsid w:val="00290556"/>
    <w:rsid w:val="00331493"/>
    <w:rsid w:val="003412D2"/>
    <w:rsid w:val="003D5B4B"/>
    <w:rsid w:val="0042766E"/>
    <w:rsid w:val="004F6EBB"/>
    <w:rsid w:val="00552F74"/>
    <w:rsid w:val="005F3331"/>
    <w:rsid w:val="00607409"/>
    <w:rsid w:val="006C4A96"/>
    <w:rsid w:val="007E407A"/>
    <w:rsid w:val="008D50E6"/>
    <w:rsid w:val="009222E7"/>
    <w:rsid w:val="009617B8"/>
    <w:rsid w:val="009A276A"/>
    <w:rsid w:val="009C0087"/>
    <w:rsid w:val="00A11B7C"/>
    <w:rsid w:val="00AD212C"/>
    <w:rsid w:val="00B6515F"/>
    <w:rsid w:val="00B9638B"/>
    <w:rsid w:val="00C011E4"/>
    <w:rsid w:val="00C975D9"/>
    <w:rsid w:val="00CC49E9"/>
    <w:rsid w:val="00CE62F8"/>
    <w:rsid w:val="00D8020B"/>
    <w:rsid w:val="00DA79BD"/>
    <w:rsid w:val="00F71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619CD"/>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501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qFormat/>
    <w:rsid w:val="00A11B7C"/>
    <w:pPr>
      <w:spacing w:after="200" w:line="276" w:lineRule="auto"/>
      <w:ind w:left="720"/>
      <w:contextualSpacing/>
    </w:pPr>
    <w:rPr>
      <w:rFonts w:ascii="Calibri" w:eastAsia="Calibri" w:hAnsi="Calibri" w:cs="Times New Roman"/>
    </w:rPr>
  </w:style>
  <w:style w:type="character" w:styleId="Hyperlink">
    <w:name w:val="Hyperlink"/>
    <w:rsid w:val="00A11B7C"/>
    <w:rPr>
      <w:u w:val="single"/>
    </w:rPr>
  </w:style>
  <w:style w:type="character" w:customStyle="1" w:styleId="Strikethrough">
    <w:name w:val="Strikethrough"/>
    <w:rsid w:val="00A11B7C"/>
    <w:rPr>
      <w:strike/>
      <w:dstrike w:val="0"/>
      <w:lang w:val="en-US"/>
    </w:rPr>
  </w:style>
  <w:style w:type="paragraph" w:styleId="NormalWeb">
    <w:name w:val="Normal (Web)"/>
    <w:basedOn w:val="Normal"/>
    <w:uiPriority w:val="99"/>
    <w:semiHidden/>
    <w:unhideWhenUsed/>
    <w:rsid w:val="00A11B7C"/>
    <w:pPr>
      <w:spacing w:after="0" w:line="240" w:lineRule="auto"/>
    </w:pPr>
    <w:rPr>
      <w:rFonts w:ascii="Times New Roman" w:eastAsia="Calibri" w:hAnsi="Times New Roman" w:cs="Times New Roman"/>
      <w:sz w:val="24"/>
      <w:szCs w:val="24"/>
      <w:lang w:eastAsia="en-GB"/>
    </w:rPr>
  </w:style>
  <w:style w:type="character" w:styleId="Strong">
    <w:name w:val="Strong"/>
    <w:uiPriority w:val="22"/>
    <w:qFormat/>
    <w:rsid w:val="00A11B7C"/>
    <w:rPr>
      <w:b/>
      <w:bCs/>
    </w:rPr>
  </w:style>
  <w:style w:type="character" w:styleId="FollowedHyperlink">
    <w:name w:val="FollowedHyperlink"/>
    <w:basedOn w:val="DefaultParagraphFont"/>
    <w:uiPriority w:val="99"/>
    <w:semiHidden/>
    <w:unhideWhenUsed/>
    <w:rsid w:val="00C975D9"/>
    <w:rPr>
      <w:color w:val="954F72" w:themeColor="followedHyperlink"/>
      <w:u w:val="single"/>
    </w:rPr>
  </w:style>
  <w:style w:type="paragraph" w:styleId="FootnoteText">
    <w:name w:val="footnote text"/>
    <w:basedOn w:val="Normal"/>
    <w:link w:val="FootnoteTextChar"/>
    <w:uiPriority w:val="99"/>
    <w:semiHidden/>
    <w:unhideWhenUsed/>
    <w:rsid w:val="003412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2D2"/>
    <w:rPr>
      <w:sz w:val="20"/>
      <w:szCs w:val="20"/>
    </w:rPr>
  </w:style>
  <w:style w:type="character" w:styleId="FootnoteReference">
    <w:name w:val="footnote reference"/>
    <w:basedOn w:val="DefaultParagraphFont"/>
    <w:uiPriority w:val="99"/>
    <w:semiHidden/>
    <w:unhideWhenUsed/>
    <w:rsid w:val="003412D2"/>
    <w:rPr>
      <w:vertAlign w:val="superscript"/>
    </w:rPr>
  </w:style>
  <w:style w:type="paragraph" w:styleId="EndnoteText">
    <w:name w:val="endnote text"/>
    <w:basedOn w:val="Normal"/>
    <w:link w:val="EndnoteTextChar"/>
    <w:uiPriority w:val="99"/>
    <w:semiHidden/>
    <w:unhideWhenUsed/>
    <w:rsid w:val="003412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12D2"/>
    <w:rPr>
      <w:sz w:val="20"/>
      <w:szCs w:val="20"/>
    </w:rPr>
  </w:style>
  <w:style w:type="character" w:styleId="EndnoteReference">
    <w:name w:val="endnote reference"/>
    <w:basedOn w:val="DefaultParagraphFont"/>
    <w:uiPriority w:val="99"/>
    <w:semiHidden/>
    <w:unhideWhenUsed/>
    <w:rsid w:val="003412D2"/>
    <w:rPr>
      <w:vertAlign w:val="superscript"/>
    </w:rPr>
  </w:style>
  <w:style w:type="paragraph" w:styleId="BalloonText">
    <w:name w:val="Balloon Text"/>
    <w:basedOn w:val="Normal"/>
    <w:link w:val="BalloonTextChar"/>
    <w:uiPriority w:val="99"/>
    <w:semiHidden/>
    <w:unhideWhenUsed/>
    <w:rsid w:val="007E4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07A"/>
    <w:rPr>
      <w:rFonts w:ascii="Segoe UI" w:hAnsi="Segoe UI" w:cs="Segoe UI"/>
      <w:sz w:val="18"/>
      <w:szCs w:val="18"/>
    </w:rPr>
  </w:style>
  <w:style w:type="character" w:customStyle="1" w:styleId="Heading3Char">
    <w:name w:val="Heading 3 Char"/>
    <w:basedOn w:val="DefaultParagraphFont"/>
    <w:link w:val="Heading3"/>
    <w:uiPriority w:val="9"/>
    <w:semiHidden/>
    <w:rsid w:val="0015013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cs.org.uk/wp-content/uploads/2021/12/Joint-statement-Version-1.9_NJW_fin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gcs.org.uk/wp-content/uploads/2021/05/OCAFP_BGCS-Call-to-action-21-05-2021-ref-14.0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E9103-5208-45F4-8B2B-C018147A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Lusiana McCarty</cp:lastModifiedBy>
  <cp:revision>18</cp:revision>
  <dcterms:created xsi:type="dcterms:W3CDTF">2024-05-07T12:51:00Z</dcterms:created>
  <dcterms:modified xsi:type="dcterms:W3CDTF">2024-06-12T14:48:00Z</dcterms:modified>
</cp:coreProperties>
</file>